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diagrams/colors1.xml" ContentType="application/vnd.openxmlformats-officedocument.drawingml.diagramColors+xml"/>
  <Override PartName="/word/diagrams/colors2.xml" ContentType="application/vnd.openxmlformats-officedocument.drawingml.diagramColors+xml"/>
  <Override PartName="/word/diagrams/colors3.xml" ContentType="application/vnd.openxmlformats-officedocument.drawingml.diagramColors+xml"/>
  <Override PartName="/word/diagrams/colors4.xml" ContentType="application/vnd.openxmlformats-officedocument.drawingml.diagramColors+xml"/>
  <Override PartName="/word/diagrams/data1.xml" ContentType="application/vnd.openxmlformats-officedocument.drawingml.diagramData+xml"/>
  <Override PartName="/word/diagrams/data2.xml" ContentType="application/vnd.openxmlformats-officedocument.drawingml.diagramData+xml"/>
  <Override PartName="/word/diagrams/data3.xml" ContentType="application/vnd.openxmlformats-officedocument.drawingml.diagramData+xml"/>
  <Override PartName="/word/diagrams/data4.xml" ContentType="application/vnd.openxmlformats-officedocument.drawingml.diagramData+xml"/>
  <Override PartName="/word/diagrams/drawing1.xml" ContentType="application/vnd.ms-office.drawingml.diagramDrawing+xml"/>
  <Override PartName="/word/diagrams/drawing2.xml" ContentType="application/vnd.ms-office.drawingml.diagramDrawing+xml"/>
  <Override PartName="/word/diagrams/drawing3.xml" ContentType="application/vnd.ms-office.drawingml.diagramDrawing+xml"/>
  <Override PartName="/word/diagrams/drawing4.xml" ContentType="application/vnd.ms-office.drawingml.diagramDrawing+xml"/>
  <Override PartName="/word/diagrams/layout1.xml" ContentType="application/vnd.openxmlformats-officedocument.drawingml.diagramLayout+xml"/>
  <Override PartName="/word/diagrams/layout2.xml" ContentType="application/vnd.openxmlformats-officedocument.drawingml.diagramLayout+xml"/>
  <Override PartName="/word/diagrams/layout3.xml" ContentType="application/vnd.openxmlformats-officedocument.drawingml.diagramLayout+xml"/>
  <Override PartName="/word/diagrams/layout4.xml" ContentType="application/vnd.openxmlformats-officedocument.drawingml.diagramLayout+xml"/>
  <Override PartName="/word/diagrams/quickStyle1.xml" ContentType="application/vnd.openxmlformats-officedocument.drawingml.diagramStyle+xml"/>
  <Override PartName="/word/diagrams/quickStyle2.xml" ContentType="application/vnd.openxmlformats-officedocument.drawingml.diagramStyle+xml"/>
  <Override PartName="/word/diagrams/quickStyle3.xml" ContentType="application/vnd.openxmlformats-officedocument.drawingml.diagramStyle+xml"/>
  <Override PartName="/word/diagrams/quickStyle4.xml" ContentType="application/vnd.openxmlformats-officedocument.drawingml.diagram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eastAsia="隶书"/>
          <w:sz w:val="52"/>
          <w:szCs w:val="52"/>
        </w:rPr>
      </w:pPr>
      <w:bookmarkStart w:id="216" w:name="_GoBack"/>
      <w:bookmarkEnd w:id="216"/>
    </w:p>
    <w:p>
      <w:pPr>
        <w:jc w:val="center"/>
        <w:rPr>
          <w:rFonts w:eastAsia="隶书"/>
        </w:rPr>
      </w:pPr>
    </w:p>
    <w:p>
      <w:pPr>
        <w:autoSpaceDE w:val="0"/>
        <w:autoSpaceDN w:val="0"/>
        <w:adjustRightInd w:val="0"/>
        <w:jc w:val="center"/>
        <w:rPr>
          <w:rFonts w:ascii="黑体" w:hAnsi="黑体" w:eastAsia="黑体"/>
          <w:sz w:val="70"/>
          <w:szCs w:val="70"/>
        </w:rPr>
      </w:pPr>
      <w:r>
        <w:rPr>
          <w:rFonts w:hint="eastAsia" w:ascii="黑体" w:hAnsi="黑体" w:eastAsia="黑体"/>
          <w:sz w:val="70"/>
          <w:szCs w:val="70"/>
        </w:rPr>
        <w:t>渭南市新能源新材料</w:t>
      </w:r>
    </w:p>
    <w:p>
      <w:pPr>
        <w:autoSpaceDE w:val="0"/>
        <w:autoSpaceDN w:val="0"/>
        <w:adjustRightInd w:val="0"/>
        <w:jc w:val="center"/>
        <w:rPr>
          <w:rFonts w:ascii="黑体" w:hAnsi="黑体" w:eastAsia="黑体"/>
          <w:sz w:val="70"/>
          <w:szCs w:val="70"/>
        </w:rPr>
      </w:pPr>
      <w:r>
        <w:rPr>
          <w:rFonts w:hint="eastAsia" w:ascii="黑体" w:hAnsi="黑体" w:eastAsia="黑体"/>
          <w:sz w:val="70"/>
          <w:szCs w:val="70"/>
        </w:rPr>
        <w:t>产业发展规划</w:t>
      </w:r>
    </w:p>
    <w:p>
      <w:pPr>
        <w:autoSpaceDE w:val="0"/>
        <w:autoSpaceDN w:val="0"/>
        <w:adjustRightInd w:val="0"/>
        <w:jc w:val="center"/>
        <w:rPr>
          <w:rFonts w:ascii="黑体" w:eastAsia="黑体"/>
          <w:sz w:val="40"/>
          <w:szCs w:val="44"/>
        </w:rPr>
      </w:pPr>
      <w:bookmarkStart w:id="0" w:name="_Toc454368122"/>
      <w:r>
        <w:rPr>
          <w:rFonts w:hint="eastAsia" w:ascii="黑体" w:eastAsia="黑体"/>
          <w:sz w:val="40"/>
          <w:szCs w:val="44"/>
        </w:rPr>
        <w:t>（2016-2020年）</w:t>
      </w:r>
      <w:bookmarkEnd w:id="0"/>
    </w:p>
    <w:p>
      <w:pPr>
        <w:autoSpaceDE w:val="0"/>
        <w:autoSpaceDN w:val="0"/>
        <w:adjustRightInd w:val="0"/>
        <w:jc w:val="center"/>
        <w:rPr>
          <w:rFonts w:ascii="黑体" w:eastAsia="黑体"/>
          <w:sz w:val="40"/>
          <w:szCs w:val="44"/>
        </w:rPr>
      </w:pPr>
    </w:p>
    <w:p>
      <w:pPr>
        <w:jc w:val="center"/>
        <w:rPr>
          <w:sz w:val="44"/>
          <w:szCs w:val="44"/>
        </w:rPr>
      </w:pPr>
    </w:p>
    <w:p>
      <w:pPr>
        <w:jc w:val="center"/>
        <w:rPr>
          <w:sz w:val="44"/>
          <w:szCs w:val="44"/>
        </w:rPr>
      </w:pPr>
      <w:r>
        <w:rPr>
          <w:sz w:val="44"/>
          <w:szCs w:val="44"/>
        </w:rPr>
        <w:drawing>
          <wp:anchor distT="0" distB="0" distL="114300" distR="114300" simplePos="0" relativeHeight="251648000" behindDoc="1" locked="0" layoutInCell="1" allowOverlap="1">
            <wp:simplePos x="0" y="0"/>
            <wp:positionH relativeFrom="column">
              <wp:posOffset>4174490</wp:posOffset>
            </wp:positionH>
            <wp:positionV relativeFrom="paragraph">
              <wp:posOffset>6662420</wp:posOffset>
            </wp:positionV>
            <wp:extent cx="1828800" cy="1895475"/>
            <wp:effectExtent l="19050" t="0" r="0" b="0"/>
            <wp:wrapNone/>
            <wp:docPr id="32" name="图片 24" descr="西北设计章子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4" descr="西北设计章子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1828800" cy="1895475"/>
                    </a:xfrm>
                    <a:prstGeom prst="rect">
                      <a:avLst/>
                    </a:prstGeom>
                    <a:noFill/>
                    <a:ln w="9525">
                      <a:miter lim="800000"/>
                      <a:headEnd/>
                      <a:tailEnd/>
                    </a:ln>
                  </pic:spPr>
                </pic:pic>
              </a:graphicData>
            </a:graphic>
          </wp:anchor>
        </w:drawing>
      </w:r>
    </w:p>
    <w:p>
      <w:pPr>
        <w:jc w:val="center"/>
        <w:rPr>
          <w:sz w:val="44"/>
          <w:szCs w:val="44"/>
        </w:rPr>
      </w:pPr>
    </w:p>
    <w:p>
      <w:pPr>
        <w:jc w:val="center"/>
        <w:rPr>
          <w:sz w:val="44"/>
          <w:szCs w:val="44"/>
        </w:rPr>
      </w:pPr>
    </w:p>
    <w:p>
      <w:pPr>
        <w:jc w:val="center"/>
        <w:rPr>
          <w:sz w:val="44"/>
          <w:szCs w:val="44"/>
        </w:rPr>
      </w:pPr>
    </w:p>
    <w:p>
      <w:pPr>
        <w:jc w:val="center"/>
        <w:rPr>
          <w:sz w:val="44"/>
          <w:szCs w:val="44"/>
        </w:rPr>
      </w:pPr>
    </w:p>
    <w:p>
      <w:pPr>
        <w:jc w:val="center"/>
        <w:rPr>
          <w:szCs w:val="21"/>
        </w:rPr>
      </w:pPr>
      <w:r>
        <w:rPr>
          <w:szCs w:val="21"/>
        </w:rPr>
        <w:drawing>
          <wp:anchor distT="0" distB="0" distL="114300" distR="114300" simplePos="0" relativeHeight="251649024" behindDoc="0" locked="0" layoutInCell="1" allowOverlap="1">
            <wp:simplePos x="0" y="0"/>
            <wp:positionH relativeFrom="column">
              <wp:posOffset>4733925</wp:posOffset>
            </wp:positionH>
            <wp:positionV relativeFrom="paragraph">
              <wp:posOffset>5843270</wp:posOffset>
            </wp:positionV>
            <wp:extent cx="1828800" cy="1895475"/>
            <wp:effectExtent l="19050" t="0" r="0" b="0"/>
            <wp:wrapNone/>
            <wp:docPr id="34" name="图片 26" descr="西北设计章子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6" descr="西北设计章子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1828800" cy="1895475"/>
                    </a:xfrm>
                    <a:prstGeom prst="rect">
                      <a:avLst/>
                    </a:prstGeom>
                    <a:noFill/>
                    <a:ln w="9525">
                      <a:miter lim="800000"/>
                      <a:headEnd/>
                      <a:tailEnd/>
                    </a:ln>
                  </pic:spPr>
                </pic:pic>
              </a:graphicData>
            </a:graphic>
          </wp:anchor>
        </w:drawing>
      </w:r>
    </w:p>
    <w:p>
      <w:pPr>
        <w:tabs>
          <w:tab w:val="left" w:pos="1271"/>
        </w:tabs>
        <w:rPr>
          <w:szCs w:val="21"/>
        </w:rPr>
      </w:pPr>
      <w:r>
        <w:rPr>
          <w:szCs w:val="21"/>
        </w:rPr>
        <w:tab/>
      </w:r>
    </w:p>
    <w:p>
      <w:pPr>
        <w:spacing w:line="240" w:lineRule="auto"/>
        <w:jc w:val="center"/>
        <w:rPr>
          <w:rFonts w:ascii="黑体" w:hAnsi="华文细黑" w:eastAsia="黑体"/>
          <w:sz w:val="42"/>
          <w:szCs w:val="42"/>
        </w:rPr>
      </w:pPr>
    </w:p>
    <w:p>
      <w:pPr>
        <w:spacing w:line="240" w:lineRule="auto"/>
        <w:jc w:val="center"/>
        <w:rPr>
          <w:rFonts w:ascii="黑体" w:hAnsi="华文细黑" w:eastAsia="黑体"/>
          <w:sz w:val="42"/>
          <w:szCs w:val="42"/>
        </w:rPr>
      </w:pPr>
    </w:p>
    <w:p>
      <w:pPr>
        <w:spacing w:line="240" w:lineRule="auto"/>
        <w:jc w:val="center"/>
        <w:rPr>
          <w:rFonts w:ascii="黑体" w:hAnsi="华文细黑" w:eastAsia="黑体"/>
          <w:sz w:val="42"/>
          <w:szCs w:val="42"/>
        </w:rPr>
      </w:pPr>
    </w:p>
    <w:p>
      <w:pPr>
        <w:spacing w:line="240" w:lineRule="auto"/>
        <w:jc w:val="center"/>
        <w:rPr>
          <w:rFonts w:ascii="黑体" w:hAnsi="华文细黑" w:eastAsia="黑体"/>
          <w:sz w:val="42"/>
          <w:szCs w:val="42"/>
        </w:rPr>
      </w:pPr>
    </w:p>
    <w:p>
      <w:pPr>
        <w:spacing w:line="240" w:lineRule="auto"/>
        <w:jc w:val="center"/>
        <w:rPr>
          <w:rFonts w:ascii="黑体" w:hAnsi="华文细黑" w:eastAsia="黑体"/>
          <w:sz w:val="42"/>
          <w:szCs w:val="42"/>
        </w:rPr>
      </w:pPr>
    </w:p>
    <w:p>
      <w:pPr>
        <w:pStyle w:val="117"/>
        <w:spacing w:before="0"/>
        <w:jc w:val="center"/>
        <w:rPr>
          <w:rFonts w:ascii="Times New Roman" w:hAnsi="Times New Roman" w:eastAsia="宋体" w:cs="Times New Roman"/>
          <w:b w:val="0"/>
          <w:bCs w:val="0"/>
          <w:color w:val="auto"/>
          <w:kern w:val="2"/>
          <w:sz w:val="24"/>
          <w:szCs w:val="24"/>
          <w:lang w:val="zh-CN"/>
        </w:rPr>
        <w:sectPr>
          <w:footerReference r:id="rId3" w:type="default"/>
          <w:footerReference r:id="rId4" w:type="even"/>
          <w:pgSz w:w="11906" w:h="16838"/>
          <w:pgMar w:top="1440" w:right="1588" w:bottom="1440" w:left="1588" w:header="851" w:footer="992" w:gutter="0"/>
          <w:pgNumType w:fmt="decimal" w:start="1"/>
          <w:cols w:space="720" w:num="1"/>
          <w:docGrid w:linePitch="312" w:charSpace="0"/>
        </w:sectPr>
      </w:pPr>
    </w:p>
    <w:sdt>
      <w:sdtPr>
        <w:rPr>
          <w:rFonts w:ascii="Times New Roman" w:hAnsi="Times New Roman" w:eastAsia="宋体" w:cs="Times New Roman"/>
          <w:b w:val="0"/>
          <w:bCs w:val="0"/>
          <w:color w:val="auto"/>
          <w:kern w:val="2"/>
          <w:sz w:val="24"/>
          <w:szCs w:val="24"/>
          <w:lang w:val="zh-CN"/>
        </w:rPr>
        <w:id w:val="413918"/>
      </w:sdtPr>
      <w:sdtEndPr>
        <w:rPr>
          <w:rFonts w:cs="Times New Roman" w:asciiTheme="minorEastAsia" w:hAnsiTheme="minorEastAsia" w:eastAsiaTheme="minorEastAsia"/>
          <w:b w:val="0"/>
          <w:bCs w:val="0"/>
          <w:i/>
          <w:color w:val="auto"/>
          <w:kern w:val="2"/>
          <w:sz w:val="24"/>
          <w:szCs w:val="24"/>
          <w:lang w:val="en-US"/>
        </w:rPr>
      </w:sdtEndPr>
      <w:sdtContent>
        <w:p>
          <w:pPr>
            <w:pStyle w:val="117"/>
            <w:spacing w:before="0"/>
            <w:jc w:val="center"/>
            <w:rPr>
              <w:color w:val="auto"/>
            </w:rPr>
          </w:pPr>
          <w:r>
            <w:rPr>
              <w:color w:val="auto"/>
              <w:lang w:val="zh-CN"/>
            </w:rPr>
            <w:t>目录</w:t>
          </w:r>
        </w:p>
        <w:p>
          <w:pPr>
            <w:pStyle w:val="28"/>
            <w:tabs>
              <w:tab w:val="right" w:leader="dot" w:pos="8730"/>
            </w:tabs>
          </w:pPr>
          <w:r>
            <w:rPr>
              <w:rFonts w:asciiTheme="minorEastAsia" w:hAnsiTheme="minorEastAsia" w:eastAsiaTheme="minorEastAsia"/>
              <w:b w:val="0"/>
              <w:bCs w:val="0"/>
              <w:caps w:val="0"/>
            </w:rPr>
            <w:fldChar w:fldCharType="begin"/>
          </w:r>
          <w:r>
            <w:rPr>
              <w:rFonts w:asciiTheme="minorEastAsia" w:hAnsiTheme="minorEastAsia" w:eastAsiaTheme="minorEastAsia"/>
              <w:b w:val="0"/>
              <w:bCs w:val="0"/>
              <w:caps w:val="0"/>
            </w:rPr>
            <w:instrText xml:space="preserve"> TOC \o "1-2" \h \z \u </w:instrText>
          </w:r>
          <w:r>
            <w:rPr>
              <w:rFonts w:asciiTheme="minorEastAsia" w:hAnsiTheme="minorEastAsia" w:eastAsiaTheme="minorEastAsia"/>
              <w:b w:val="0"/>
              <w:bCs w:val="0"/>
              <w:caps w:val="0"/>
            </w:rPr>
            <w:fldChar w:fldCharType="separate"/>
          </w:r>
          <w:r>
            <w:rPr>
              <w:rFonts w:asciiTheme="minorEastAsia" w:hAnsiTheme="minorEastAsia" w:eastAsiaTheme="minorEastAsia"/>
              <w:b w:val="0"/>
              <w:bCs w:val="0"/>
              <w:caps w:val="0"/>
            </w:rPr>
            <w:fldChar w:fldCharType="begin"/>
          </w:r>
          <w:r>
            <w:rPr>
              <w:rFonts w:asciiTheme="minorEastAsia" w:hAnsiTheme="minorEastAsia" w:eastAsiaTheme="minorEastAsia"/>
              <w:b w:val="0"/>
              <w:bCs w:val="0"/>
              <w:caps w:val="0"/>
            </w:rPr>
            <w:instrText xml:space="preserve"> HYPERLINK \l _Toc30110 </w:instrText>
          </w:r>
          <w:r>
            <w:rPr>
              <w:rFonts w:asciiTheme="minorEastAsia" w:hAnsiTheme="minorEastAsia" w:eastAsiaTheme="minorEastAsia"/>
              <w:b w:val="0"/>
              <w:bCs w:val="0"/>
              <w:caps w:val="0"/>
            </w:rPr>
            <w:fldChar w:fldCharType="separate"/>
          </w:r>
          <w:r>
            <w:rPr>
              <w:rFonts w:hint="eastAsia"/>
            </w:rPr>
            <w:t>1 总论</w:t>
          </w:r>
          <w:r>
            <w:tab/>
          </w:r>
          <w:r>
            <w:fldChar w:fldCharType="begin"/>
          </w:r>
          <w:r>
            <w:instrText xml:space="preserve"> PAGEREF _Toc30110 </w:instrText>
          </w:r>
          <w:r>
            <w:fldChar w:fldCharType="separate"/>
          </w:r>
          <w:r>
            <w:t>1</w:t>
          </w:r>
          <w:r>
            <w:fldChar w:fldCharType="end"/>
          </w:r>
          <w:r>
            <w:rPr>
              <w:rFonts w:asciiTheme="minorEastAsia" w:hAnsiTheme="minorEastAsia" w:eastAsiaTheme="minorEastAsia"/>
              <w:b w:val="0"/>
              <w:bCs w:val="0"/>
              <w:caps w:val="0"/>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_Toc25120 </w:instrText>
          </w:r>
          <w:r>
            <w:rPr>
              <w:rFonts w:asciiTheme="minorEastAsia" w:hAnsiTheme="minorEastAsia" w:eastAsiaTheme="minorEastAsia" w:cstheme="minorHAnsi"/>
              <w:b/>
              <w:bCs/>
              <w:caps/>
            </w:rPr>
            <w:fldChar w:fldCharType="separate"/>
          </w:r>
          <w:r>
            <w:rPr>
              <w:rFonts w:hint="eastAsia"/>
            </w:rPr>
            <w:t>1.1 区域概况</w:t>
          </w:r>
          <w:r>
            <w:tab/>
          </w:r>
          <w:r>
            <w:fldChar w:fldCharType="begin"/>
          </w:r>
          <w:r>
            <w:instrText xml:space="preserve"> PAGEREF _Toc25120 </w:instrText>
          </w:r>
          <w:r>
            <w:fldChar w:fldCharType="separate"/>
          </w:r>
          <w:r>
            <w:t>1</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_Toc8650 </w:instrText>
          </w:r>
          <w:r>
            <w:rPr>
              <w:rFonts w:asciiTheme="minorEastAsia" w:hAnsiTheme="minorEastAsia" w:eastAsiaTheme="minorEastAsia" w:cstheme="minorHAnsi"/>
              <w:b/>
              <w:bCs/>
              <w:caps/>
            </w:rPr>
            <w:fldChar w:fldCharType="separate"/>
          </w:r>
          <w:r>
            <w:rPr>
              <w:rFonts w:hint="eastAsia"/>
            </w:rPr>
            <w:t>1.2 规划背景</w:t>
          </w:r>
          <w:r>
            <w:tab/>
          </w:r>
          <w:r>
            <w:fldChar w:fldCharType="begin"/>
          </w:r>
          <w:r>
            <w:instrText xml:space="preserve"> PAGEREF _Toc8650 </w:instrText>
          </w:r>
          <w:r>
            <w:fldChar w:fldCharType="separate"/>
          </w:r>
          <w:r>
            <w:t>2</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_Toc13611 </w:instrText>
          </w:r>
          <w:r>
            <w:rPr>
              <w:rFonts w:asciiTheme="minorEastAsia" w:hAnsiTheme="minorEastAsia" w:eastAsiaTheme="minorEastAsia" w:cstheme="minorHAnsi"/>
              <w:b/>
              <w:bCs/>
              <w:caps/>
            </w:rPr>
            <w:fldChar w:fldCharType="separate"/>
          </w:r>
          <w:r>
            <w:rPr>
              <w:rFonts w:hint="eastAsia"/>
            </w:rPr>
            <w:t>1.3 规划依据</w:t>
          </w:r>
          <w:r>
            <w:tab/>
          </w:r>
          <w:r>
            <w:fldChar w:fldCharType="begin"/>
          </w:r>
          <w:r>
            <w:instrText xml:space="preserve"> PAGEREF _Toc13611 </w:instrText>
          </w:r>
          <w:r>
            <w:fldChar w:fldCharType="separate"/>
          </w:r>
          <w:r>
            <w:t>6</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_Toc7702 </w:instrText>
          </w:r>
          <w:r>
            <w:rPr>
              <w:rFonts w:asciiTheme="minorEastAsia" w:hAnsiTheme="minorEastAsia" w:eastAsiaTheme="minorEastAsia" w:cstheme="minorHAnsi"/>
              <w:b/>
              <w:bCs/>
              <w:caps/>
            </w:rPr>
            <w:fldChar w:fldCharType="separate"/>
          </w:r>
          <w:r>
            <w:rPr>
              <w:rFonts w:hint="eastAsia"/>
            </w:rPr>
            <w:t>1.4 规划范围</w:t>
          </w:r>
          <w:r>
            <w:t>、</w:t>
          </w:r>
          <w:r>
            <w:rPr>
              <w:rFonts w:hint="eastAsia"/>
            </w:rPr>
            <w:t>时限和内容</w:t>
          </w:r>
          <w:r>
            <w:tab/>
          </w:r>
          <w:r>
            <w:fldChar w:fldCharType="begin"/>
          </w:r>
          <w:r>
            <w:instrText xml:space="preserve"> PAGEREF _Toc7702 </w:instrText>
          </w:r>
          <w:r>
            <w:fldChar w:fldCharType="separate"/>
          </w:r>
          <w:r>
            <w:t>8</w:t>
          </w:r>
          <w:r>
            <w:fldChar w:fldCharType="end"/>
          </w:r>
          <w:r>
            <w:rPr>
              <w:rFonts w:asciiTheme="minorEastAsia" w:hAnsiTheme="minorEastAsia" w:eastAsiaTheme="minorEastAsia" w:cstheme="minorHAnsi"/>
              <w:b/>
              <w:bCs/>
              <w:caps/>
            </w:rPr>
            <w:fldChar w:fldCharType="end"/>
          </w:r>
        </w:p>
        <w:p>
          <w:pPr>
            <w:pStyle w:val="28"/>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_Toc27548 </w:instrText>
          </w:r>
          <w:r>
            <w:rPr>
              <w:rFonts w:asciiTheme="minorEastAsia" w:hAnsiTheme="minorEastAsia" w:eastAsiaTheme="minorEastAsia" w:cstheme="minorHAnsi"/>
              <w:b/>
              <w:bCs/>
              <w:caps/>
            </w:rPr>
            <w:fldChar w:fldCharType="separate"/>
          </w:r>
          <w:r>
            <w:rPr>
              <w:rFonts w:hint="eastAsia"/>
            </w:rPr>
            <w:t>2 产业发展基础</w:t>
          </w:r>
          <w:r>
            <w:tab/>
          </w:r>
          <w:r>
            <w:fldChar w:fldCharType="begin"/>
          </w:r>
          <w:r>
            <w:instrText xml:space="preserve"> PAGEREF _Toc27548 </w:instrText>
          </w:r>
          <w:r>
            <w:fldChar w:fldCharType="separate"/>
          </w:r>
          <w:r>
            <w:t>9</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_Toc21990 </w:instrText>
          </w:r>
          <w:r>
            <w:rPr>
              <w:rFonts w:asciiTheme="minorEastAsia" w:hAnsiTheme="minorEastAsia" w:eastAsiaTheme="minorEastAsia" w:cstheme="minorHAnsi"/>
              <w:b/>
              <w:bCs/>
              <w:caps/>
            </w:rPr>
            <w:fldChar w:fldCharType="separate"/>
          </w:r>
          <w:r>
            <w:rPr>
              <w:rFonts w:hint="eastAsia"/>
            </w:rPr>
            <w:t>2.1 区域经济</w:t>
          </w:r>
          <w:r>
            <w:tab/>
          </w:r>
          <w:r>
            <w:fldChar w:fldCharType="begin"/>
          </w:r>
          <w:r>
            <w:instrText xml:space="preserve"> PAGEREF _Toc21990 </w:instrText>
          </w:r>
          <w:r>
            <w:fldChar w:fldCharType="separate"/>
          </w:r>
          <w:r>
            <w:t>9</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_Toc7017 </w:instrText>
          </w:r>
          <w:r>
            <w:rPr>
              <w:rFonts w:asciiTheme="minorEastAsia" w:hAnsiTheme="minorEastAsia" w:eastAsiaTheme="minorEastAsia" w:cstheme="minorHAnsi"/>
              <w:b/>
              <w:bCs/>
              <w:caps/>
            </w:rPr>
            <w:fldChar w:fldCharType="separate"/>
          </w:r>
          <w:r>
            <w:rPr>
              <w:rFonts w:hint="eastAsia"/>
            </w:rPr>
            <w:t>2.2 区位优势</w:t>
          </w:r>
          <w:r>
            <w:tab/>
          </w:r>
          <w:r>
            <w:fldChar w:fldCharType="begin"/>
          </w:r>
          <w:r>
            <w:instrText xml:space="preserve"> PAGEREF _Toc7017 </w:instrText>
          </w:r>
          <w:r>
            <w:fldChar w:fldCharType="separate"/>
          </w:r>
          <w:r>
            <w:t>9</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_Toc1773 </w:instrText>
          </w:r>
          <w:r>
            <w:rPr>
              <w:rFonts w:asciiTheme="minorEastAsia" w:hAnsiTheme="minorEastAsia" w:eastAsiaTheme="minorEastAsia" w:cstheme="minorHAnsi"/>
              <w:b/>
              <w:bCs/>
              <w:caps/>
            </w:rPr>
            <w:fldChar w:fldCharType="separate"/>
          </w:r>
          <w:r>
            <w:rPr>
              <w:rFonts w:hint="eastAsia"/>
            </w:rPr>
            <w:t>2.3 资源禀赋</w:t>
          </w:r>
          <w:r>
            <w:tab/>
          </w:r>
          <w:r>
            <w:fldChar w:fldCharType="begin"/>
          </w:r>
          <w:r>
            <w:instrText xml:space="preserve"> PAGEREF _Toc1773 </w:instrText>
          </w:r>
          <w:r>
            <w:fldChar w:fldCharType="separate"/>
          </w:r>
          <w:r>
            <w:t>15</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_Toc29863 </w:instrText>
          </w:r>
          <w:r>
            <w:rPr>
              <w:rFonts w:asciiTheme="minorEastAsia" w:hAnsiTheme="minorEastAsia" w:eastAsiaTheme="minorEastAsia" w:cstheme="minorHAnsi"/>
              <w:b/>
              <w:bCs/>
              <w:caps/>
            </w:rPr>
            <w:fldChar w:fldCharType="separate"/>
          </w:r>
          <w:r>
            <w:rPr>
              <w:rFonts w:hint="eastAsia"/>
            </w:rPr>
            <w:t>2.4 电网条件</w:t>
          </w:r>
          <w:r>
            <w:tab/>
          </w:r>
          <w:r>
            <w:fldChar w:fldCharType="begin"/>
          </w:r>
          <w:r>
            <w:instrText xml:space="preserve"> PAGEREF _Toc29863 </w:instrText>
          </w:r>
          <w:r>
            <w:fldChar w:fldCharType="separate"/>
          </w:r>
          <w:r>
            <w:t>22</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_Toc11610 </w:instrText>
          </w:r>
          <w:r>
            <w:rPr>
              <w:rFonts w:asciiTheme="minorEastAsia" w:hAnsiTheme="minorEastAsia" w:eastAsiaTheme="minorEastAsia" w:cstheme="minorHAnsi"/>
              <w:b/>
              <w:bCs/>
              <w:caps/>
            </w:rPr>
            <w:fldChar w:fldCharType="separate"/>
          </w:r>
          <w:r>
            <w:rPr>
              <w:rFonts w:hint="eastAsia"/>
            </w:rPr>
            <w:t>2.5 科技与人才优势</w:t>
          </w:r>
          <w:r>
            <w:tab/>
          </w:r>
          <w:r>
            <w:fldChar w:fldCharType="begin"/>
          </w:r>
          <w:r>
            <w:instrText xml:space="preserve"> PAGEREF _Toc11610 </w:instrText>
          </w:r>
          <w:r>
            <w:fldChar w:fldCharType="separate"/>
          </w:r>
          <w:r>
            <w:t>24</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_Toc1422 </w:instrText>
          </w:r>
          <w:r>
            <w:rPr>
              <w:rFonts w:asciiTheme="minorEastAsia" w:hAnsiTheme="minorEastAsia" w:eastAsiaTheme="minorEastAsia" w:cstheme="minorHAnsi"/>
              <w:b/>
              <w:bCs/>
              <w:caps/>
            </w:rPr>
            <w:fldChar w:fldCharType="separate"/>
          </w:r>
          <w:r>
            <w:rPr>
              <w:rFonts w:hint="eastAsia"/>
            </w:rPr>
            <w:t>2.6 产业成本优势</w:t>
          </w:r>
          <w:r>
            <w:tab/>
          </w:r>
          <w:r>
            <w:fldChar w:fldCharType="begin"/>
          </w:r>
          <w:r>
            <w:instrText xml:space="preserve"> PAGEREF _Toc1422 </w:instrText>
          </w:r>
          <w:r>
            <w:fldChar w:fldCharType="separate"/>
          </w:r>
          <w:r>
            <w:t>25</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_Toc7740 </w:instrText>
          </w:r>
          <w:r>
            <w:rPr>
              <w:rFonts w:asciiTheme="minorEastAsia" w:hAnsiTheme="minorEastAsia" w:eastAsiaTheme="minorEastAsia" w:cstheme="minorHAnsi"/>
              <w:b/>
              <w:bCs/>
              <w:caps/>
            </w:rPr>
            <w:fldChar w:fldCharType="separate"/>
          </w:r>
          <w:r>
            <w:rPr>
              <w:rFonts w:hint="eastAsia"/>
            </w:rPr>
            <w:t>2.7 渭南市</w:t>
          </w:r>
          <w:r>
            <w:t>产业发展</w:t>
          </w:r>
          <w:r>
            <w:rPr>
              <w:rFonts w:hint="eastAsia"/>
            </w:rPr>
            <w:t>SWOT分析</w:t>
          </w:r>
          <w:r>
            <w:tab/>
          </w:r>
          <w:r>
            <w:fldChar w:fldCharType="begin"/>
          </w:r>
          <w:r>
            <w:instrText xml:space="preserve"> PAGEREF _Toc7740 </w:instrText>
          </w:r>
          <w:r>
            <w:fldChar w:fldCharType="separate"/>
          </w:r>
          <w:r>
            <w:t>25</w:t>
          </w:r>
          <w:r>
            <w:fldChar w:fldCharType="end"/>
          </w:r>
          <w:r>
            <w:rPr>
              <w:rFonts w:asciiTheme="minorEastAsia" w:hAnsiTheme="minorEastAsia" w:eastAsiaTheme="minorEastAsia" w:cstheme="minorHAnsi"/>
              <w:b/>
              <w:bCs/>
              <w:caps/>
            </w:rPr>
            <w:fldChar w:fldCharType="end"/>
          </w:r>
        </w:p>
        <w:p>
          <w:pPr>
            <w:pStyle w:val="28"/>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_Toc14272 </w:instrText>
          </w:r>
          <w:r>
            <w:rPr>
              <w:rFonts w:asciiTheme="minorEastAsia" w:hAnsiTheme="minorEastAsia" w:eastAsiaTheme="minorEastAsia" w:cstheme="minorHAnsi"/>
              <w:b/>
              <w:bCs/>
              <w:caps/>
            </w:rPr>
            <w:fldChar w:fldCharType="separate"/>
          </w:r>
          <w:r>
            <w:rPr>
              <w:rFonts w:hint="eastAsia"/>
            </w:rPr>
            <w:t>3 渭南市产业发展现状</w:t>
          </w:r>
          <w:r>
            <w:tab/>
          </w:r>
          <w:r>
            <w:fldChar w:fldCharType="begin"/>
          </w:r>
          <w:r>
            <w:instrText xml:space="preserve"> PAGEREF _Toc14272 </w:instrText>
          </w:r>
          <w:r>
            <w:fldChar w:fldCharType="separate"/>
          </w:r>
          <w:r>
            <w:t>27</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_Toc10809 </w:instrText>
          </w:r>
          <w:r>
            <w:rPr>
              <w:rFonts w:asciiTheme="minorEastAsia" w:hAnsiTheme="minorEastAsia" w:eastAsiaTheme="minorEastAsia" w:cstheme="minorHAnsi"/>
              <w:b/>
              <w:bCs/>
              <w:caps/>
            </w:rPr>
            <w:fldChar w:fldCharType="separate"/>
          </w:r>
          <w:r>
            <w:rPr>
              <w:rFonts w:hint="eastAsia"/>
            </w:rPr>
            <w:t>3.1 产业</w:t>
          </w:r>
          <w:r>
            <w:t>发展演变</w:t>
          </w:r>
          <w:r>
            <w:tab/>
          </w:r>
          <w:r>
            <w:fldChar w:fldCharType="begin"/>
          </w:r>
          <w:r>
            <w:instrText xml:space="preserve"> PAGEREF _Toc10809 </w:instrText>
          </w:r>
          <w:r>
            <w:fldChar w:fldCharType="separate"/>
          </w:r>
          <w:r>
            <w:t>27</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_Toc6322 </w:instrText>
          </w:r>
          <w:r>
            <w:rPr>
              <w:rFonts w:asciiTheme="minorEastAsia" w:hAnsiTheme="minorEastAsia" w:eastAsiaTheme="minorEastAsia" w:cstheme="minorHAnsi"/>
              <w:b/>
              <w:bCs/>
              <w:caps/>
            </w:rPr>
            <w:fldChar w:fldCharType="separate"/>
          </w:r>
          <w:r>
            <w:rPr>
              <w:rFonts w:hint="eastAsia"/>
            </w:rPr>
            <w:t>3.2 渭南市产业发展现状</w:t>
          </w:r>
          <w:r>
            <w:tab/>
          </w:r>
          <w:r>
            <w:fldChar w:fldCharType="begin"/>
          </w:r>
          <w:r>
            <w:instrText xml:space="preserve"> PAGEREF _Toc6322 </w:instrText>
          </w:r>
          <w:r>
            <w:fldChar w:fldCharType="separate"/>
          </w:r>
          <w:r>
            <w:t>27</w:t>
          </w:r>
          <w:r>
            <w:fldChar w:fldCharType="end"/>
          </w:r>
          <w:r>
            <w:rPr>
              <w:rFonts w:asciiTheme="minorEastAsia" w:hAnsiTheme="minorEastAsia" w:eastAsiaTheme="minorEastAsia" w:cstheme="minorHAnsi"/>
              <w:b/>
              <w:bCs/>
              <w:caps/>
            </w:rPr>
            <w:fldChar w:fldCharType="end"/>
          </w:r>
        </w:p>
        <w:p>
          <w:pPr>
            <w:pStyle w:val="28"/>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_Toc13004 </w:instrText>
          </w:r>
          <w:r>
            <w:rPr>
              <w:rFonts w:asciiTheme="minorEastAsia" w:hAnsiTheme="minorEastAsia" w:eastAsiaTheme="minorEastAsia" w:cstheme="minorHAnsi"/>
              <w:b/>
              <w:bCs/>
              <w:caps/>
            </w:rPr>
            <w:fldChar w:fldCharType="separate"/>
          </w:r>
          <w:r>
            <w:rPr>
              <w:rFonts w:hint="eastAsia"/>
            </w:rPr>
            <w:t>4 产业发展思路与目标定位</w:t>
          </w:r>
          <w:r>
            <w:tab/>
          </w:r>
          <w:r>
            <w:fldChar w:fldCharType="begin"/>
          </w:r>
          <w:r>
            <w:instrText xml:space="preserve"> PAGEREF _Toc13004 </w:instrText>
          </w:r>
          <w:r>
            <w:fldChar w:fldCharType="separate"/>
          </w:r>
          <w:r>
            <w:t>34</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_Toc20065 </w:instrText>
          </w:r>
          <w:r>
            <w:rPr>
              <w:rFonts w:asciiTheme="minorEastAsia" w:hAnsiTheme="minorEastAsia" w:eastAsiaTheme="minorEastAsia" w:cstheme="minorHAnsi"/>
              <w:b/>
              <w:bCs/>
              <w:caps/>
            </w:rPr>
            <w:fldChar w:fldCharType="separate"/>
          </w:r>
          <w:r>
            <w:rPr>
              <w:rFonts w:hint="eastAsia"/>
            </w:rPr>
            <w:t>4.1 产业</w:t>
          </w:r>
          <w:r>
            <w:t>发展思路</w:t>
          </w:r>
          <w:r>
            <w:tab/>
          </w:r>
          <w:r>
            <w:fldChar w:fldCharType="begin"/>
          </w:r>
          <w:r>
            <w:instrText xml:space="preserve"> PAGEREF _Toc20065 </w:instrText>
          </w:r>
          <w:r>
            <w:fldChar w:fldCharType="separate"/>
          </w:r>
          <w:r>
            <w:t>34</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_Toc11941 </w:instrText>
          </w:r>
          <w:r>
            <w:rPr>
              <w:rFonts w:asciiTheme="minorEastAsia" w:hAnsiTheme="minorEastAsia" w:eastAsiaTheme="minorEastAsia" w:cstheme="minorHAnsi"/>
              <w:b/>
              <w:bCs/>
              <w:caps/>
            </w:rPr>
            <w:fldChar w:fldCharType="separate"/>
          </w:r>
          <w:r>
            <w:rPr>
              <w:rFonts w:hint="eastAsia"/>
            </w:rPr>
            <w:t>4.2 战略定位</w:t>
          </w:r>
          <w:r>
            <w:tab/>
          </w:r>
          <w:r>
            <w:fldChar w:fldCharType="begin"/>
          </w:r>
          <w:r>
            <w:instrText xml:space="preserve"> PAGEREF _Toc11941 </w:instrText>
          </w:r>
          <w:r>
            <w:fldChar w:fldCharType="separate"/>
          </w:r>
          <w:r>
            <w:t>36</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_Toc25282 </w:instrText>
          </w:r>
          <w:r>
            <w:rPr>
              <w:rFonts w:asciiTheme="minorEastAsia" w:hAnsiTheme="minorEastAsia" w:eastAsiaTheme="minorEastAsia" w:cstheme="minorHAnsi"/>
              <w:b/>
              <w:bCs/>
              <w:caps/>
            </w:rPr>
            <w:fldChar w:fldCharType="separate"/>
          </w:r>
          <w:r>
            <w:rPr>
              <w:rFonts w:hint="eastAsia"/>
            </w:rPr>
            <w:t>4.3 发展目标</w:t>
          </w:r>
          <w:r>
            <w:tab/>
          </w:r>
          <w:r>
            <w:fldChar w:fldCharType="begin"/>
          </w:r>
          <w:r>
            <w:instrText xml:space="preserve"> PAGEREF _Toc25282 </w:instrText>
          </w:r>
          <w:r>
            <w:fldChar w:fldCharType="separate"/>
          </w:r>
          <w:r>
            <w:t>36</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_Toc15843 </w:instrText>
          </w:r>
          <w:r>
            <w:rPr>
              <w:rFonts w:asciiTheme="minorEastAsia" w:hAnsiTheme="minorEastAsia" w:eastAsiaTheme="minorEastAsia" w:cstheme="minorHAnsi"/>
              <w:b/>
              <w:bCs/>
              <w:caps/>
            </w:rPr>
            <w:fldChar w:fldCharType="separate"/>
          </w:r>
          <w:r>
            <w:rPr>
              <w:rFonts w:hint="eastAsia"/>
            </w:rPr>
            <w:t>4.4 产业发展策略</w:t>
          </w:r>
          <w:r>
            <w:tab/>
          </w:r>
          <w:r>
            <w:fldChar w:fldCharType="begin"/>
          </w:r>
          <w:r>
            <w:instrText xml:space="preserve"> PAGEREF _Toc15843 </w:instrText>
          </w:r>
          <w:r>
            <w:fldChar w:fldCharType="separate"/>
          </w:r>
          <w:r>
            <w:t>37</w:t>
          </w:r>
          <w:r>
            <w:fldChar w:fldCharType="end"/>
          </w:r>
          <w:r>
            <w:rPr>
              <w:rFonts w:asciiTheme="minorEastAsia" w:hAnsiTheme="minorEastAsia" w:eastAsiaTheme="minorEastAsia" w:cstheme="minorHAnsi"/>
              <w:b/>
              <w:bCs/>
              <w:caps/>
            </w:rPr>
            <w:fldChar w:fldCharType="end"/>
          </w:r>
        </w:p>
        <w:p>
          <w:pPr>
            <w:pStyle w:val="28"/>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_Toc9092 </w:instrText>
          </w:r>
          <w:r>
            <w:rPr>
              <w:rFonts w:asciiTheme="minorEastAsia" w:hAnsiTheme="minorEastAsia" w:eastAsiaTheme="minorEastAsia" w:cstheme="minorHAnsi"/>
              <w:b/>
              <w:bCs/>
              <w:caps/>
            </w:rPr>
            <w:fldChar w:fldCharType="separate"/>
          </w:r>
          <w:r>
            <w:rPr>
              <w:rFonts w:hint="eastAsia"/>
            </w:rPr>
            <w:t>5 新能源产业集群规划</w:t>
          </w:r>
          <w:r>
            <w:tab/>
          </w:r>
          <w:r>
            <w:fldChar w:fldCharType="begin"/>
          </w:r>
          <w:r>
            <w:instrText xml:space="preserve"> PAGEREF _Toc9092 </w:instrText>
          </w:r>
          <w:r>
            <w:fldChar w:fldCharType="separate"/>
          </w:r>
          <w:r>
            <w:t>40</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_Toc13632 </w:instrText>
          </w:r>
          <w:r>
            <w:rPr>
              <w:rFonts w:asciiTheme="minorEastAsia" w:hAnsiTheme="minorEastAsia" w:eastAsiaTheme="minorEastAsia" w:cstheme="minorHAnsi"/>
              <w:b/>
              <w:bCs/>
              <w:caps/>
            </w:rPr>
            <w:fldChar w:fldCharType="separate"/>
          </w:r>
          <w:r>
            <w:rPr>
              <w:rFonts w:hint="eastAsia"/>
            </w:rPr>
            <w:t>5.1 发展原则</w:t>
          </w:r>
          <w:r>
            <w:tab/>
          </w:r>
          <w:r>
            <w:fldChar w:fldCharType="begin"/>
          </w:r>
          <w:r>
            <w:instrText xml:space="preserve"> PAGEREF _Toc13632 </w:instrText>
          </w:r>
          <w:r>
            <w:fldChar w:fldCharType="separate"/>
          </w:r>
          <w:r>
            <w:t>40</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_Toc293 </w:instrText>
          </w:r>
          <w:r>
            <w:rPr>
              <w:rFonts w:asciiTheme="minorEastAsia" w:hAnsiTheme="minorEastAsia" w:eastAsiaTheme="minorEastAsia" w:cstheme="minorHAnsi"/>
              <w:b/>
              <w:bCs/>
              <w:caps/>
            </w:rPr>
            <w:fldChar w:fldCharType="separate"/>
          </w:r>
          <w:r>
            <w:rPr>
              <w:rFonts w:hint="eastAsia"/>
            </w:rPr>
            <w:t>5.2 太阳能综合应用</w:t>
          </w:r>
          <w:r>
            <w:tab/>
          </w:r>
          <w:r>
            <w:fldChar w:fldCharType="begin"/>
          </w:r>
          <w:r>
            <w:instrText xml:space="preserve"> PAGEREF _Toc293 </w:instrText>
          </w:r>
          <w:r>
            <w:fldChar w:fldCharType="separate"/>
          </w:r>
          <w:r>
            <w:t>41</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_Toc32606 </w:instrText>
          </w:r>
          <w:r>
            <w:rPr>
              <w:rFonts w:asciiTheme="minorEastAsia" w:hAnsiTheme="minorEastAsia" w:eastAsiaTheme="minorEastAsia" w:cstheme="minorHAnsi"/>
              <w:b/>
              <w:bCs/>
              <w:caps/>
            </w:rPr>
            <w:fldChar w:fldCharType="separate"/>
          </w:r>
          <w:r>
            <w:rPr>
              <w:rFonts w:hint="eastAsia"/>
            </w:rPr>
            <w:t>5.3 风能综合应用</w:t>
          </w:r>
          <w:r>
            <w:tab/>
          </w:r>
          <w:r>
            <w:fldChar w:fldCharType="begin"/>
          </w:r>
          <w:r>
            <w:instrText xml:space="preserve"> PAGEREF _Toc32606 </w:instrText>
          </w:r>
          <w:r>
            <w:fldChar w:fldCharType="separate"/>
          </w:r>
          <w:r>
            <w:t>61</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_Toc28518 </w:instrText>
          </w:r>
          <w:r>
            <w:rPr>
              <w:rFonts w:asciiTheme="minorEastAsia" w:hAnsiTheme="minorEastAsia" w:eastAsiaTheme="minorEastAsia" w:cstheme="minorHAnsi"/>
              <w:b/>
              <w:bCs/>
              <w:caps/>
            </w:rPr>
            <w:fldChar w:fldCharType="separate"/>
          </w:r>
          <w:r>
            <w:rPr>
              <w:rFonts w:hint="eastAsia"/>
            </w:rPr>
            <w:t>5.4 地热能综合利用</w:t>
          </w:r>
          <w:r>
            <w:tab/>
          </w:r>
          <w:r>
            <w:fldChar w:fldCharType="begin"/>
          </w:r>
          <w:r>
            <w:instrText xml:space="preserve"> PAGEREF _Toc28518 </w:instrText>
          </w:r>
          <w:r>
            <w:fldChar w:fldCharType="separate"/>
          </w:r>
          <w:r>
            <w:t>65</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_Toc28131 </w:instrText>
          </w:r>
          <w:r>
            <w:rPr>
              <w:rFonts w:asciiTheme="minorEastAsia" w:hAnsiTheme="minorEastAsia" w:eastAsiaTheme="minorEastAsia" w:cstheme="minorHAnsi"/>
              <w:b/>
              <w:bCs/>
              <w:caps/>
            </w:rPr>
            <w:fldChar w:fldCharType="separate"/>
          </w:r>
          <w:r>
            <w:rPr>
              <w:rFonts w:hint="eastAsia"/>
            </w:rPr>
            <w:t>5.5 生物质</w:t>
          </w:r>
          <w:r>
            <w:t>能综合利用</w:t>
          </w:r>
          <w:r>
            <w:tab/>
          </w:r>
          <w:r>
            <w:fldChar w:fldCharType="begin"/>
          </w:r>
          <w:r>
            <w:instrText xml:space="preserve"> PAGEREF _Toc28131 </w:instrText>
          </w:r>
          <w:r>
            <w:fldChar w:fldCharType="separate"/>
          </w:r>
          <w:r>
            <w:t>69</w:t>
          </w:r>
          <w:r>
            <w:fldChar w:fldCharType="end"/>
          </w:r>
          <w:r>
            <w:rPr>
              <w:rFonts w:asciiTheme="minorEastAsia" w:hAnsiTheme="minorEastAsia" w:eastAsiaTheme="minorEastAsia" w:cstheme="minorHAnsi"/>
              <w:b/>
              <w:bCs/>
              <w:caps/>
            </w:rPr>
            <w:fldChar w:fldCharType="end"/>
          </w:r>
        </w:p>
        <w:p>
          <w:pPr>
            <w:pStyle w:val="28"/>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_Toc6815 </w:instrText>
          </w:r>
          <w:r>
            <w:rPr>
              <w:rFonts w:asciiTheme="minorEastAsia" w:hAnsiTheme="minorEastAsia" w:eastAsiaTheme="minorEastAsia" w:cstheme="minorHAnsi"/>
              <w:b/>
              <w:bCs/>
              <w:caps/>
            </w:rPr>
            <w:fldChar w:fldCharType="separate"/>
          </w:r>
          <w:r>
            <w:rPr>
              <w:rFonts w:hint="eastAsia"/>
            </w:rPr>
            <w:t>6 新材料产业集群规划</w:t>
          </w:r>
          <w:r>
            <w:tab/>
          </w:r>
          <w:r>
            <w:fldChar w:fldCharType="begin"/>
          </w:r>
          <w:r>
            <w:instrText xml:space="preserve"> PAGEREF _Toc6815 </w:instrText>
          </w:r>
          <w:r>
            <w:fldChar w:fldCharType="separate"/>
          </w:r>
          <w:r>
            <w:t>72</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_Toc8192 </w:instrText>
          </w:r>
          <w:r>
            <w:rPr>
              <w:rFonts w:asciiTheme="minorEastAsia" w:hAnsiTheme="minorEastAsia" w:eastAsiaTheme="minorEastAsia" w:cstheme="minorHAnsi"/>
              <w:b/>
              <w:bCs/>
              <w:caps/>
            </w:rPr>
            <w:fldChar w:fldCharType="separate"/>
          </w:r>
          <w:r>
            <w:rPr>
              <w:rFonts w:hint="eastAsia"/>
            </w:rPr>
            <w:t>6.1 新材料</w:t>
          </w:r>
          <w:r>
            <w:t>的应用领域</w:t>
          </w:r>
          <w:r>
            <w:tab/>
          </w:r>
          <w:r>
            <w:fldChar w:fldCharType="begin"/>
          </w:r>
          <w:r>
            <w:instrText xml:space="preserve"> PAGEREF _Toc8192 </w:instrText>
          </w:r>
          <w:r>
            <w:fldChar w:fldCharType="separate"/>
          </w:r>
          <w:r>
            <w:t>72</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_Toc8331 </w:instrText>
          </w:r>
          <w:r>
            <w:rPr>
              <w:rFonts w:asciiTheme="minorEastAsia" w:hAnsiTheme="minorEastAsia" w:eastAsiaTheme="minorEastAsia" w:cstheme="minorHAnsi"/>
              <w:b/>
              <w:bCs/>
              <w:caps/>
            </w:rPr>
            <w:fldChar w:fldCharType="separate"/>
          </w:r>
          <w:r>
            <w:rPr>
              <w:rFonts w:hint="eastAsia"/>
            </w:rPr>
            <w:t>6.2 渭南</w:t>
          </w:r>
          <w:r>
            <w:t>新材料产业集群发展思路</w:t>
          </w:r>
          <w:r>
            <w:tab/>
          </w:r>
          <w:r>
            <w:fldChar w:fldCharType="begin"/>
          </w:r>
          <w:r>
            <w:instrText xml:space="preserve"> PAGEREF _Toc8331 </w:instrText>
          </w:r>
          <w:r>
            <w:fldChar w:fldCharType="separate"/>
          </w:r>
          <w:r>
            <w:t>77</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_Toc4755 </w:instrText>
          </w:r>
          <w:r>
            <w:rPr>
              <w:rFonts w:asciiTheme="minorEastAsia" w:hAnsiTheme="minorEastAsia" w:eastAsiaTheme="minorEastAsia" w:cstheme="minorHAnsi"/>
              <w:b/>
              <w:bCs/>
              <w:caps/>
            </w:rPr>
            <w:fldChar w:fldCharType="separate"/>
          </w:r>
          <w:r>
            <w:rPr>
              <w:rFonts w:hint="eastAsia"/>
            </w:rPr>
            <w:t>6.3 富平</w:t>
          </w:r>
          <w:r>
            <w:t>航空新材料产业集群</w:t>
          </w:r>
          <w:r>
            <w:tab/>
          </w:r>
          <w:r>
            <w:fldChar w:fldCharType="begin"/>
          </w:r>
          <w:r>
            <w:instrText xml:space="preserve"> PAGEREF _Toc4755 </w:instrText>
          </w:r>
          <w:r>
            <w:fldChar w:fldCharType="separate"/>
          </w:r>
          <w:r>
            <w:t>77</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_Toc12406 </w:instrText>
          </w:r>
          <w:r>
            <w:rPr>
              <w:rFonts w:asciiTheme="minorEastAsia" w:hAnsiTheme="minorEastAsia" w:eastAsiaTheme="minorEastAsia" w:cstheme="minorHAnsi"/>
              <w:b/>
              <w:bCs/>
              <w:caps/>
            </w:rPr>
            <w:fldChar w:fldCharType="separate"/>
          </w:r>
          <w:r>
            <w:rPr>
              <w:rFonts w:hint="eastAsia"/>
            </w:rPr>
            <w:t xml:space="preserve">6.4 </w:t>
          </w:r>
          <w:r>
            <w:t>高新区3D打印专用特色新材料产业集群</w:t>
          </w:r>
          <w:r>
            <w:tab/>
          </w:r>
          <w:r>
            <w:fldChar w:fldCharType="begin"/>
          </w:r>
          <w:r>
            <w:instrText xml:space="preserve"> PAGEREF _Toc12406 </w:instrText>
          </w:r>
          <w:r>
            <w:fldChar w:fldCharType="separate"/>
          </w:r>
          <w:r>
            <w:t>82</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_Toc19978 </w:instrText>
          </w:r>
          <w:r>
            <w:rPr>
              <w:rFonts w:asciiTheme="minorEastAsia" w:hAnsiTheme="minorEastAsia" w:eastAsiaTheme="minorEastAsia" w:cstheme="minorHAnsi"/>
              <w:b/>
              <w:bCs/>
              <w:caps/>
            </w:rPr>
            <w:fldChar w:fldCharType="separate"/>
          </w:r>
          <w:r>
            <w:rPr>
              <w:rFonts w:hint="eastAsia"/>
            </w:rPr>
            <w:t>6.5 华州区</w:t>
          </w:r>
          <w:r>
            <w:t>钼基新材料产业集群</w:t>
          </w:r>
          <w:r>
            <w:tab/>
          </w:r>
          <w:r>
            <w:fldChar w:fldCharType="begin"/>
          </w:r>
          <w:r>
            <w:instrText xml:space="preserve"> PAGEREF _Toc19978 </w:instrText>
          </w:r>
          <w:r>
            <w:fldChar w:fldCharType="separate"/>
          </w:r>
          <w:r>
            <w:t>96</w:t>
          </w:r>
          <w:r>
            <w:fldChar w:fldCharType="end"/>
          </w:r>
          <w:r>
            <w:rPr>
              <w:rFonts w:asciiTheme="minorEastAsia" w:hAnsiTheme="minorEastAsia" w:eastAsiaTheme="minorEastAsia" w:cstheme="minorHAnsi"/>
              <w:b/>
              <w:bCs/>
              <w:caps/>
            </w:rPr>
            <w:fldChar w:fldCharType="end"/>
          </w:r>
        </w:p>
        <w:p>
          <w:pPr>
            <w:pStyle w:val="28"/>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_Toc22018 </w:instrText>
          </w:r>
          <w:r>
            <w:rPr>
              <w:rFonts w:asciiTheme="minorEastAsia" w:hAnsiTheme="minorEastAsia" w:eastAsiaTheme="minorEastAsia" w:cstheme="minorHAnsi"/>
              <w:b/>
              <w:bCs/>
              <w:caps/>
            </w:rPr>
            <w:fldChar w:fldCharType="separate"/>
          </w:r>
          <w:r>
            <w:rPr>
              <w:rFonts w:hint="eastAsia"/>
            </w:rPr>
            <w:t>7 新能源汽车</w:t>
          </w:r>
          <w:r>
            <w:t>产业发展集群</w:t>
          </w:r>
          <w:r>
            <w:rPr>
              <w:rFonts w:hint="eastAsia"/>
            </w:rPr>
            <w:t>规划</w:t>
          </w:r>
          <w:r>
            <w:tab/>
          </w:r>
          <w:r>
            <w:fldChar w:fldCharType="begin"/>
          </w:r>
          <w:r>
            <w:instrText xml:space="preserve"> PAGEREF _Toc22018 </w:instrText>
          </w:r>
          <w:r>
            <w:fldChar w:fldCharType="separate"/>
          </w:r>
          <w:r>
            <w:t>103</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_Toc2224 </w:instrText>
          </w:r>
          <w:r>
            <w:rPr>
              <w:rFonts w:asciiTheme="minorEastAsia" w:hAnsiTheme="minorEastAsia" w:eastAsiaTheme="minorEastAsia" w:cstheme="minorHAnsi"/>
              <w:b/>
              <w:bCs/>
              <w:caps/>
            </w:rPr>
            <w:fldChar w:fldCharType="separate"/>
          </w:r>
          <w:r>
            <w:rPr>
              <w:rFonts w:hint="eastAsia"/>
            </w:rPr>
            <w:t>7.1 新能源</w:t>
          </w:r>
          <w:r>
            <w:t>汽车产业发展</w:t>
          </w:r>
          <w:r>
            <w:rPr>
              <w:rFonts w:hint="eastAsia"/>
            </w:rPr>
            <w:t>现状</w:t>
          </w:r>
          <w:r>
            <w:t>及趋势</w:t>
          </w:r>
          <w:r>
            <w:tab/>
          </w:r>
          <w:r>
            <w:fldChar w:fldCharType="begin"/>
          </w:r>
          <w:r>
            <w:instrText xml:space="preserve"> PAGEREF _Toc2224 </w:instrText>
          </w:r>
          <w:r>
            <w:fldChar w:fldCharType="separate"/>
          </w:r>
          <w:r>
            <w:t>103</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_Toc2772 </w:instrText>
          </w:r>
          <w:r>
            <w:rPr>
              <w:rFonts w:asciiTheme="minorEastAsia" w:hAnsiTheme="minorEastAsia" w:eastAsiaTheme="minorEastAsia" w:cstheme="minorHAnsi"/>
              <w:b/>
              <w:bCs/>
              <w:caps/>
            </w:rPr>
            <w:fldChar w:fldCharType="separate"/>
          </w:r>
          <w:r>
            <w:rPr>
              <w:rFonts w:hint="eastAsia"/>
            </w:rPr>
            <w:t>7.2 渭南市新能源</w:t>
          </w:r>
          <w:r>
            <w:t>汽车</w:t>
          </w:r>
          <w:r>
            <w:rPr>
              <w:rFonts w:hint="eastAsia"/>
            </w:rPr>
            <w:t>产业</w:t>
          </w:r>
          <w:r>
            <w:t>发展思路</w:t>
          </w:r>
          <w:r>
            <w:tab/>
          </w:r>
          <w:r>
            <w:fldChar w:fldCharType="begin"/>
          </w:r>
          <w:r>
            <w:instrText xml:space="preserve"> PAGEREF _Toc2772 </w:instrText>
          </w:r>
          <w:r>
            <w:fldChar w:fldCharType="separate"/>
          </w:r>
          <w:r>
            <w:t>107</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_Toc2060 </w:instrText>
          </w:r>
          <w:r>
            <w:rPr>
              <w:rFonts w:asciiTheme="minorEastAsia" w:hAnsiTheme="minorEastAsia" w:eastAsiaTheme="minorEastAsia" w:cstheme="minorHAnsi"/>
              <w:b/>
              <w:bCs/>
              <w:caps/>
            </w:rPr>
            <w:fldChar w:fldCharType="separate"/>
          </w:r>
          <w:r>
            <w:rPr>
              <w:rFonts w:hint="eastAsia"/>
            </w:rPr>
            <w:t>7.3 主体产业功能</w:t>
          </w:r>
          <w:r>
            <w:t>规划</w:t>
          </w:r>
          <w:r>
            <w:tab/>
          </w:r>
          <w:r>
            <w:fldChar w:fldCharType="begin"/>
          </w:r>
          <w:r>
            <w:instrText xml:space="preserve"> PAGEREF _Toc2060 </w:instrText>
          </w:r>
          <w:r>
            <w:fldChar w:fldCharType="separate"/>
          </w:r>
          <w:r>
            <w:t>110</w:t>
          </w:r>
          <w:r>
            <w:fldChar w:fldCharType="end"/>
          </w:r>
          <w:r>
            <w:rPr>
              <w:rFonts w:asciiTheme="minorEastAsia" w:hAnsiTheme="minorEastAsia" w:eastAsiaTheme="minorEastAsia" w:cstheme="minorHAnsi"/>
              <w:b/>
              <w:bCs/>
              <w:caps/>
            </w:rPr>
            <w:fldChar w:fldCharType="end"/>
          </w:r>
        </w:p>
        <w:p>
          <w:pPr>
            <w:pStyle w:val="28"/>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_Toc20202 </w:instrText>
          </w:r>
          <w:r>
            <w:rPr>
              <w:rFonts w:asciiTheme="minorEastAsia" w:hAnsiTheme="minorEastAsia" w:eastAsiaTheme="minorEastAsia" w:cstheme="minorHAnsi"/>
              <w:b/>
              <w:bCs/>
              <w:caps/>
            </w:rPr>
            <w:fldChar w:fldCharType="separate"/>
          </w:r>
          <w:r>
            <w:rPr>
              <w:rFonts w:hint="eastAsia"/>
            </w:rPr>
            <w:t>8 产业空间布局</w:t>
          </w:r>
          <w:r>
            <w:tab/>
          </w:r>
          <w:r>
            <w:fldChar w:fldCharType="begin"/>
          </w:r>
          <w:r>
            <w:instrText xml:space="preserve"> PAGEREF _Toc20202 </w:instrText>
          </w:r>
          <w:r>
            <w:fldChar w:fldCharType="separate"/>
          </w:r>
          <w:r>
            <w:t>114</w:t>
          </w:r>
          <w:r>
            <w:fldChar w:fldCharType="end"/>
          </w:r>
          <w:r>
            <w:rPr>
              <w:rFonts w:asciiTheme="minorEastAsia" w:hAnsiTheme="minorEastAsia" w:eastAsiaTheme="minorEastAsia" w:cstheme="minorHAnsi"/>
              <w:b/>
              <w:bCs/>
              <w:caps/>
            </w:rPr>
            <w:fldChar w:fldCharType="end"/>
          </w:r>
        </w:p>
        <w:p>
          <w:pPr>
            <w:pStyle w:val="28"/>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_Toc8816 </w:instrText>
          </w:r>
          <w:r>
            <w:rPr>
              <w:rFonts w:asciiTheme="minorEastAsia" w:hAnsiTheme="minorEastAsia" w:eastAsiaTheme="minorEastAsia" w:cstheme="minorHAnsi"/>
              <w:b/>
              <w:bCs/>
              <w:caps/>
            </w:rPr>
            <w:fldChar w:fldCharType="separate"/>
          </w:r>
          <w:r>
            <w:rPr>
              <w:rFonts w:hint="eastAsia" w:ascii="黑体" w:eastAsia="黑体"/>
              <w:bCs/>
              <w:kern w:val="44"/>
              <w:szCs w:val="32"/>
            </w:rPr>
            <w:t>9 发展重点</w:t>
          </w:r>
          <w:r>
            <w:tab/>
          </w:r>
          <w:r>
            <w:fldChar w:fldCharType="begin"/>
          </w:r>
          <w:r>
            <w:instrText xml:space="preserve"> PAGEREF _Toc8816 </w:instrText>
          </w:r>
          <w:r>
            <w:fldChar w:fldCharType="separate"/>
          </w:r>
          <w:r>
            <w:t>120</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_Toc17517 </w:instrText>
          </w:r>
          <w:r>
            <w:rPr>
              <w:rFonts w:asciiTheme="minorEastAsia" w:hAnsiTheme="minorEastAsia" w:eastAsiaTheme="minorEastAsia" w:cstheme="minorHAnsi"/>
              <w:b/>
              <w:bCs/>
              <w:caps/>
            </w:rPr>
            <w:fldChar w:fldCharType="separate"/>
          </w:r>
          <w:r>
            <w:rPr>
              <w:rFonts w:hint="eastAsia"/>
            </w:rPr>
            <w:t>9.1 发展重点</w:t>
          </w:r>
          <w:r>
            <w:tab/>
          </w:r>
          <w:r>
            <w:fldChar w:fldCharType="begin"/>
          </w:r>
          <w:r>
            <w:instrText xml:space="preserve"> PAGEREF _Toc17517 </w:instrText>
          </w:r>
          <w:r>
            <w:fldChar w:fldCharType="separate"/>
          </w:r>
          <w:r>
            <w:t>120</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_Toc2554 </w:instrText>
          </w:r>
          <w:r>
            <w:rPr>
              <w:rFonts w:asciiTheme="minorEastAsia" w:hAnsiTheme="minorEastAsia" w:eastAsiaTheme="minorEastAsia" w:cstheme="minorHAnsi"/>
              <w:b/>
              <w:bCs/>
              <w:caps/>
            </w:rPr>
            <w:fldChar w:fldCharType="separate"/>
          </w:r>
          <w:r>
            <w:rPr>
              <w:rFonts w:hint="eastAsia"/>
            </w:rPr>
            <w:t>9.2 重点项目</w:t>
          </w:r>
          <w:r>
            <w:tab/>
          </w:r>
          <w:r>
            <w:fldChar w:fldCharType="begin"/>
          </w:r>
          <w:r>
            <w:instrText xml:space="preserve"> PAGEREF _Toc2554 </w:instrText>
          </w:r>
          <w:r>
            <w:fldChar w:fldCharType="separate"/>
          </w:r>
          <w:r>
            <w:t>126</w:t>
          </w:r>
          <w:r>
            <w:fldChar w:fldCharType="end"/>
          </w:r>
          <w:r>
            <w:rPr>
              <w:rFonts w:asciiTheme="minorEastAsia" w:hAnsiTheme="minorEastAsia" w:eastAsiaTheme="minorEastAsia" w:cstheme="minorHAnsi"/>
              <w:b/>
              <w:bCs/>
              <w:caps/>
            </w:rPr>
            <w:fldChar w:fldCharType="end"/>
          </w:r>
        </w:p>
        <w:p>
          <w:pPr>
            <w:pStyle w:val="28"/>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_Toc29493 </w:instrText>
          </w:r>
          <w:r>
            <w:rPr>
              <w:rFonts w:asciiTheme="minorEastAsia" w:hAnsiTheme="minorEastAsia" w:eastAsiaTheme="minorEastAsia" w:cstheme="minorHAnsi"/>
              <w:b/>
              <w:bCs/>
              <w:caps/>
            </w:rPr>
            <w:fldChar w:fldCharType="separate"/>
          </w:r>
          <w:r>
            <w:rPr>
              <w:rFonts w:hint="eastAsia"/>
            </w:rPr>
            <w:t>10 效益分析</w:t>
          </w:r>
          <w:r>
            <w:tab/>
          </w:r>
          <w:r>
            <w:fldChar w:fldCharType="begin"/>
          </w:r>
          <w:r>
            <w:instrText xml:space="preserve"> PAGEREF _Toc29493 </w:instrText>
          </w:r>
          <w:r>
            <w:fldChar w:fldCharType="separate"/>
          </w:r>
          <w:r>
            <w:t>134</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_Toc5260 </w:instrText>
          </w:r>
          <w:r>
            <w:rPr>
              <w:rFonts w:asciiTheme="minorEastAsia" w:hAnsiTheme="minorEastAsia" w:eastAsiaTheme="minorEastAsia" w:cstheme="minorHAnsi"/>
              <w:b/>
              <w:bCs/>
              <w:caps/>
            </w:rPr>
            <w:fldChar w:fldCharType="separate"/>
          </w:r>
          <w:r>
            <w:rPr>
              <w:rFonts w:hint="eastAsia"/>
            </w:rPr>
            <w:t>10.1 生态环境</w:t>
          </w:r>
          <w:r>
            <w:t>效益分析</w:t>
          </w:r>
          <w:r>
            <w:tab/>
          </w:r>
          <w:r>
            <w:fldChar w:fldCharType="begin"/>
          </w:r>
          <w:r>
            <w:instrText xml:space="preserve"> PAGEREF _Toc5260 </w:instrText>
          </w:r>
          <w:r>
            <w:fldChar w:fldCharType="separate"/>
          </w:r>
          <w:r>
            <w:t>134</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_Toc14689 </w:instrText>
          </w:r>
          <w:r>
            <w:rPr>
              <w:rFonts w:asciiTheme="minorEastAsia" w:hAnsiTheme="minorEastAsia" w:eastAsiaTheme="minorEastAsia" w:cstheme="minorHAnsi"/>
              <w:b/>
              <w:bCs/>
              <w:caps/>
            </w:rPr>
            <w:fldChar w:fldCharType="separate"/>
          </w:r>
          <w:r>
            <w:rPr>
              <w:rFonts w:hint="eastAsia"/>
            </w:rPr>
            <w:t>10.2 产业链</w:t>
          </w:r>
          <w:r>
            <w:t>经济价值效益分析</w:t>
          </w:r>
          <w:r>
            <w:tab/>
          </w:r>
          <w:r>
            <w:fldChar w:fldCharType="begin"/>
          </w:r>
          <w:r>
            <w:instrText xml:space="preserve"> PAGEREF _Toc14689 </w:instrText>
          </w:r>
          <w:r>
            <w:fldChar w:fldCharType="separate"/>
          </w:r>
          <w:r>
            <w:t>135</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_Toc4226 </w:instrText>
          </w:r>
          <w:r>
            <w:rPr>
              <w:rFonts w:asciiTheme="minorEastAsia" w:hAnsiTheme="minorEastAsia" w:eastAsiaTheme="minorEastAsia" w:cstheme="minorHAnsi"/>
              <w:b/>
              <w:bCs/>
              <w:caps/>
            </w:rPr>
            <w:fldChar w:fldCharType="separate"/>
          </w:r>
          <w:r>
            <w:rPr>
              <w:rFonts w:hint="eastAsia"/>
            </w:rPr>
            <w:t>10.3 社会</w:t>
          </w:r>
          <w:r>
            <w:t>效益分析</w:t>
          </w:r>
          <w:r>
            <w:tab/>
          </w:r>
          <w:r>
            <w:fldChar w:fldCharType="begin"/>
          </w:r>
          <w:r>
            <w:instrText xml:space="preserve"> PAGEREF _Toc4226 </w:instrText>
          </w:r>
          <w:r>
            <w:fldChar w:fldCharType="separate"/>
          </w:r>
          <w:r>
            <w:t>135</w:t>
          </w:r>
          <w:r>
            <w:fldChar w:fldCharType="end"/>
          </w:r>
          <w:r>
            <w:rPr>
              <w:rFonts w:asciiTheme="minorEastAsia" w:hAnsiTheme="minorEastAsia" w:eastAsiaTheme="minorEastAsia" w:cstheme="minorHAnsi"/>
              <w:b/>
              <w:bCs/>
              <w:caps/>
            </w:rPr>
            <w:fldChar w:fldCharType="end"/>
          </w:r>
        </w:p>
        <w:p>
          <w:pPr>
            <w:pStyle w:val="28"/>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_Toc22956 </w:instrText>
          </w:r>
          <w:r>
            <w:rPr>
              <w:rFonts w:asciiTheme="minorEastAsia" w:hAnsiTheme="minorEastAsia" w:eastAsiaTheme="minorEastAsia" w:cstheme="minorHAnsi"/>
              <w:b/>
              <w:bCs/>
              <w:caps/>
            </w:rPr>
            <w:fldChar w:fldCharType="separate"/>
          </w:r>
          <w:r>
            <w:rPr>
              <w:rFonts w:hint="eastAsia"/>
            </w:rPr>
            <w:t>11 保障措施</w:t>
          </w:r>
          <w:r>
            <w:tab/>
          </w:r>
          <w:r>
            <w:fldChar w:fldCharType="begin"/>
          </w:r>
          <w:r>
            <w:instrText xml:space="preserve"> PAGEREF _Toc22956 </w:instrText>
          </w:r>
          <w:r>
            <w:fldChar w:fldCharType="separate"/>
          </w:r>
          <w:r>
            <w:t>137</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_Toc29753 </w:instrText>
          </w:r>
          <w:r>
            <w:rPr>
              <w:rFonts w:asciiTheme="minorEastAsia" w:hAnsiTheme="minorEastAsia" w:eastAsiaTheme="minorEastAsia" w:cstheme="minorHAnsi"/>
              <w:b/>
              <w:bCs/>
              <w:caps/>
            </w:rPr>
            <w:fldChar w:fldCharType="separate"/>
          </w:r>
          <w:r>
            <w:rPr>
              <w:rFonts w:hint="eastAsia"/>
            </w:rPr>
            <w:t>11.1 积极培育</w:t>
          </w:r>
          <w:r>
            <w:t>市场，营造良好市场环境</w:t>
          </w:r>
          <w:r>
            <w:tab/>
          </w:r>
          <w:r>
            <w:fldChar w:fldCharType="begin"/>
          </w:r>
          <w:r>
            <w:instrText xml:space="preserve"> PAGEREF _Toc29753 </w:instrText>
          </w:r>
          <w:r>
            <w:fldChar w:fldCharType="separate"/>
          </w:r>
          <w:r>
            <w:t>137</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_Toc23908 </w:instrText>
          </w:r>
          <w:r>
            <w:rPr>
              <w:rFonts w:asciiTheme="minorEastAsia" w:hAnsiTheme="minorEastAsia" w:eastAsiaTheme="minorEastAsia" w:cstheme="minorHAnsi"/>
              <w:b/>
              <w:bCs/>
              <w:caps/>
            </w:rPr>
            <w:fldChar w:fldCharType="separate"/>
          </w:r>
          <w:r>
            <w:rPr>
              <w:rFonts w:hint="eastAsia"/>
            </w:rPr>
            <w:t xml:space="preserve">11.2 </w:t>
          </w:r>
          <w:r>
            <w:t>争取政策支持</w:t>
          </w:r>
          <w:r>
            <w:rPr>
              <w:rFonts w:hint="eastAsia"/>
            </w:rPr>
            <w:t>，加大财税支持</w:t>
          </w:r>
          <w:r>
            <w:tab/>
          </w:r>
          <w:r>
            <w:fldChar w:fldCharType="begin"/>
          </w:r>
          <w:r>
            <w:instrText xml:space="preserve"> PAGEREF _Toc23908 </w:instrText>
          </w:r>
          <w:r>
            <w:fldChar w:fldCharType="separate"/>
          </w:r>
          <w:r>
            <w:t>137</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_Toc26269 </w:instrText>
          </w:r>
          <w:r>
            <w:rPr>
              <w:rFonts w:asciiTheme="minorEastAsia" w:hAnsiTheme="minorEastAsia" w:eastAsiaTheme="minorEastAsia" w:cstheme="minorHAnsi"/>
              <w:b/>
              <w:bCs/>
              <w:caps/>
            </w:rPr>
            <w:fldChar w:fldCharType="separate"/>
          </w:r>
          <w:r>
            <w:rPr>
              <w:rFonts w:hint="eastAsia"/>
            </w:rPr>
            <w:t>11.3 建立健全投融资保障机制，</w:t>
          </w:r>
          <w:r>
            <w:t>创新投融资模式</w:t>
          </w:r>
          <w:r>
            <w:tab/>
          </w:r>
          <w:r>
            <w:fldChar w:fldCharType="begin"/>
          </w:r>
          <w:r>
            <w:instrText xml:space="preserve"> PAGEREF _Toc26269 </w:instrText>
          </w:r>
          <w:r>
            <w:fldChar w:fldCharType="separate"/>
          </w:r>
          <w:r>
            <w:t>138</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_Toc28467 </w:instrText>
          </w:r>
          <w:r>
            <w:rPr>
              <w:rFonts w:asciiTheme="minorEastAsia" w:hAnsiTheme="minorEastAsia" w:eastAsiaTheme="minorEastAsia" w:cstheme="minorHAnsi"/>
              <w:b/>
              <w:bCs/>
              <w:caps/>
            </w:rPr>
            <w:fldChar w:fldCharType="separate"/>
          </w:r>
          <w:r>
            <w:rPr>
              <w:rFonts w:hint="eastAsia"/>
            </w:rPr>
            <w:t>11.4 优化产业布局助推转型升级</w:t>
          </w:r>
          <w:r>
            <w:tab/>
          </w:r>
          <w:r>
            <w:fldChar w:fldCharType="begin"/>
          </w:r>
          <w:r>
            <w:instrText xml:space="preserve"> PAGEREF _Toc28467 </w:instrText>
          </w:r>
          <w:r>
            <w:fldChar w:fldCharType="separate"/>
          </w:r>
          <w:r>
            <w:t>138</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_Toc20826 </w:instrText>
          </w:r>
          <w:r>
            <w:rPr>
              <w:rFonts w:asciiTheme="minorEastAsia" w:hAnsiTheme="minorEastAsia" w:eastAsiaTheme="minorEastAsia" w:cstheme="minorHAnsi"/>
              <w:b/>
              <w:bCs/>
              <w:caps/>
            </w:rPr>
            <w:fldChar w:fldCharType="separate"/>
          </w:r>
          <w:r>
            <w:rPr>
              <w:rFonts w:hint="eastAsia"/>
            </w:rPr>
            <w:t>11.5 多措</w:t>
          </w:r>
          <w:r>
            <w:t>并举建设</w:t>
          </w:r>
          <w:r>
            <w:rPr>
              <w:rFonts w:hint="eastAsia"/>
            </w:rPr>
            <w:t>绿色能源</w:t>
          </w:r>
          <w:r>
            <w:t>示范城市</w:t>
          </w:r>
          <w:r>
            <w:rPr>
              <w:rFonts w:hint="eastAsia"/>
            </w:rPr>
            <w:t>，推动</w:t>
          </w:r>
          <w:r>
            <w:t>新能源产业发展</w:t>
          </w:r>
          <w:r>
            <w:tab/>
          </w:r>
          <w:r>
            <w:fldChar w:fldCharType="begin"/>
          </w:r>
          <w:r>
            <w:instrText xml:space="preserve"> PAGEREF _Toc20826 </w:instrText>
          </w:r>
          <w:r>
            <w:fldChar w:fldCharType="separate"/>
          </w:r>
          <w:r>
            <w:t>138</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_Toc15644 </w:instrText>
          </w:r>
          <w:r>
            <w:rPr>
              <w:rFonts w:asciiTheme="minorEastAsia" w:hAnsiTheme="minorEastAsia" w:eastAsiaTheme="minorEastAsia" w:cstheme="minorHAnsi"/>
              <w:b/>
              <w:bCs/>
              <w:caps/>
            </w:rPr>
            <w:fldChar w:fldCharType="separate"/>
          </w:r>
          <w:r>
            <w:rPr>
              <w:rFonts w:hint="eastAsia"/>
            </w:rPr>
            <w:t>11.6 加强科技创新和人才建设支撑转型升级</w:t>
          </w:r>
          <w:r>
            <w:tab/>
          </w:r>
          <w:r>
            <w:fldChar w:fldCharType="begin"/>
          </w:r>
          <w:r>
            <w:instrText xml:space="preserve"> PAGEREF _Toc15644 </w:instrText>
          </w:r>
          <w:r>
            <w:fldChar w:fldCharType="separate"/>
          </w:r>
          <w:r>
            <w:t>139</w:t>
          </w:r>
          <w:r>
            <w:fldChar w:fldCharType="end"/>
          </w:r>
          <w:r>
            <w:rPr>
              <w:rFonts w:asciiTheme="minorEastAsia" w:hAnsiTheme="minorEastAsia" w:eastAsiaTheme="minorEastAsia" w:cstheme="minorHAnsi"/>
              <w:b/>
              <w:bCs/>
              <w:caps/>
            </w:rPr>
            <w:fldChar w:fldCharType="end"/>
          </w:r>
        </w:p>
        <w:p>
          <w:pPr>
            <w:pStyle w:val="33"/>
            <w:tabs>
              <w:tab w:val="right" w:leader="dot" w:pos="8730"/>
            </w:tabs>
          </w:pPr>
          <w:r>
            <w:rPr>
              <w:rFonts w:asciiTheme="minorEastAsia" w:hAnsiTheme="minorEastAsia" w:eastAsiaTheme="minorEastAsia" w:cstheme="minorHAnsi"/>
              <w:b/>
              <w:bCs/>
              <w:caps/>
            </w:rPr>
            <w:fldChar w:fldCharType="begin"/>
          </w:r>
          <w:r>
            <w:rPr>
              <w:rFonts w:asciiTheme="minorEastAsia" w:hAnsiTheme="minorEastAsia" w:eastAsiaTheme="minorEastAsia" w:cstheme="minorHAnsi"/>
              <w:b/>
              <w:bCs/>
              <w:caps/>
            </w:rPr>
            <w:instrText xml:space="preserve"> HYPERLINK \l _Toc29029 </w:instrText>
          </w:r>
          <w:r>
            <w:rPr>
              <w:rFonts w:asciiTheme="minorEastAsia" w:hAnsiTheme="minorEastAsia" w:eastAsiaTheme="minorEastAsia" w:cstheme="minorHAnsi"/>
              <w:b/>
              <w:bCs/>
              <w:caps/>
            </w:rPr>
            <w:fldChar w:fldCharType="separate"/>
          </w:r>
          <w:r>
            <w:rPr>
              <w:rFonts w:hint="eastAsia"/>
            </w:rPr>
            <w:t>11.7 规范土地</w:t>
          </w:r>
          <w:r>
            <w:t>供应</w:t>
          </w:r>
          <w:r>
            <w:tab/>
          </w:r>
          <w:r>
            <w:fldChar w:fldCharType="begin"/>
          </w:r>
          <w:r>
            <w:instrText xml:space="preserve"> PAGEREF _Toc29029 </w:instrText>
          </w:r>
          <w:r>
            <w:fldChar w:fldCharType="separate"/>
          </w:r>
          <w:r>
            <w:t>139</w:t>
          </w:r>
          <w:r>
            <w:fldChar w:fldCharType="end"/>
          </w:r>
          <w:r>
            <w:rPr>
              <w:rFonts w:asciiTheme="minorEastAsia" w:hAnsiTheme="minorEastAsia" w:eastAsiaTheme="minorEastAsia" w:cstheme="minorHAnsi"/>
              <w:b/>
              <w:bCs/>
              <w:caps/>
            </w:rPr>
            <w:fldChar w:fldCharType="end"/>
          </w:r>
        </w:p>
        <w:p>
          <w:pPr>
            <w:rPr>
              <w:rFonts w:asciiTheme="minorEastAsia" w:hAnsiTheme="minorEastAsia" w:eastAsiaTheme="minorEastAsia"/>
              <w:i/>
            </w:rPr>
          </w:pPr>
          <w:r>
            <w:rPr>
              <w:rFonts w:asciiTheme="minorEastAsia" w:hAnsiTheme="minorEastAsia" w:eastAsiaTheme="minorEastAsia" w:cstheme="minorHAnsi"/>
              <w:b/>
              <w:bCs/>
              <w:caps/>
            </w:rPr>
            <w:fldChar w:fldCharType="end"/>
          </w:r>
        </w:p>
      </w:sdtContent>
    </w:sdt>
    <w:p>
      <w:pPr>
        <w:pStyle w:val="123"/>
        <w:rPr>
          <w:color w:val="auto"/>
        </w:rPr>
        <w:sectPr>
          <w:footerReference r:id="rId5" w:type="default"/>
          <w:footerReference r:id="rId6" w:type="even"/>
          <w:pgSz w:w="11906" w:h="16838"/>
          <w:pgMar w:top="1440" w:right="1588" w:bottom="1440" w:left="1588" w:header="851" w:footer="992" w:gutter="0"/>
          <w:pgNumType w:fmt="decimal" w:start="1"/>
          <w:cols w:space="720" w:num="1"/>
          <w:docGrid w:linePitch="312" w:charSpace="0"/>
        </w:sectPr>
      </w:pPr>
      <w:bookmarkStart w:id="1" w:name="_Toc30110"/>
    </w:p>
    <w:p>
      <w:pPr>
        <w:pStyle w:val="123"/>
        <w:rPr>
          <w:color w:val="auto"/>
        </w:rPr>
      </w:pPr>
      <w:r>
        <w:rPr>
          <w:rFonts w:hint="eastAsia"/>
          <w:color w:val="auto"/>
        </w:rPr>
        <w:t>总论</w:t>
      </w:r>
      <w:bookmarkEnd w:id="1"/>
    </w:p>
    <w:p>
      <w:pPr>
        <w:pStyle w:val="125"/>
      </w:pPr>
      <w:bookmarkStart w:id="2" w:name="_Toc25120"/>
      <w:r>
        <w:rPr>
          <w:rFonts w:hint="eastAsia"/>
        </w:rPr>
        <w:t>区域概况</w:t>
      </w:r>
      <w:bookmarkEnd w:id="2"/>
    </w:p>
    <w:p>
      <w:pPr>
        <w:pStyle w:val="128"/>
      </w:pPr>
      <w:r>
        <w:rPr>
          <w:rFonts w:hint="eastAsia"/>
        </w:rPr>
        <w:t>渭南市位于黄河中游，</w:t>
      </w:r>
      <w:r>
        <w:t>关中平原</w:t>
      </w:r>
      <w:r>
        <w:rPr>
          <w:rFonts w:hint="eastAsia"/>
        </w:rPr>
        <w:t>东部</w:t>
      </w:r>
      <w:r>
        <w:t>，</w:t>
      </w:r>
      <w:r>
        <w:rPr>
          <w:rFonts w:hint="eastAsia"/>
        </w:rPr>
        <w:t>东经108°58′</w:t>
      </w:r>
      <w:r>
        <w:rPr>
          <w:rFonts w:ascii="Times New Roman"/>
        </w:rPr>
        <w:t>~</w:t>
      </w:r>
      <w:r>
        <w:rPr>
          <w:rFonts w:hint="eastAsia"/>
        </w:rPr>
        <w:t>110°35′和北纬34°13′</w:t>
      </w:r>
      <w:r>
        <w:rPr>
          <w:rFonts w:ascii="Times New Roman"/>
        </w:rPr>
        <w:t>~</w:t>
      </w:r>
      <w:r>
        <w:rPr>
          <w:rFonts w:hint="eastAsia"/>
        </w:rPr>
        <w:t>35°52′之间。东与山西、河南毗邻，西与西安、咸阳相接，南依秦岭与商洛为界，北靠黄龙山、乔山与延安、铜川接壤。南北长182.3公里，东西宽149.7公里，国土总面积13134</w:t>
      </w:r>
      <w:r>
        <w:t>km</w:t>
      </w:r>
      <w:r>
        <w:rPr>
          <w:vertAlign w:val="superscript"/>
        </w:rPr>
        <w:t>2</w:t>
      </w:r>
      <w:r>
        <w:rPr>
          <w:rFonts w:hint="eastAsia"/>
        </w:rPr>
        <w:t>。2</w:t>
      </w:r>
      <w:r>
        <w:t>014</w:t>
      </w:r>
      <w:r>
        <w:rPr>
          <w:rFonts w:hint="eastAsia"/>
        </w:rPr>
        <w:t>年</w:t>
      </w:r>
      <w:r>
        <w:t>年末全市常住人口</w:t>
      </w:r>
      <w:r>
        <w:rPr>
          <w:rFonts w:hint="eastAsia"/>
        </w:rPr>
        <w:t>534.3万人。辖2区</w:t>
      </w:r>
      <w:r>
        <w:t>（</w:t>
      </w:r>
      <w:r>
        <w:rPr>
          <w:rFonts w:hint="eastAsia"/>
        </w:rPr>
        <w:t>临渭</w:t>
      </w:r>
      <w:r>
        <w:t>、华州）</w:t>
      </w:r>
      <w:r>
        <w:rPr>
          <w:rFonts w:hint="eastAsia"/>
        </w:rPr>
        <w:t>2市</w:t>
      </w:r>
      <w:r>
        <w:t>（</w:t>
      </w:r>
      <w:r>
        <w:rPr>
          <w:rFonts w:hint="eastAsia"/>
        </w:rPr>
        <w:t>韩城</w:t>
      </w:r>
      <w:r>
        <w:t>、华阴）</w:t>
      </w:r>
      <w:r>
        <w:rPr>
          <w:rFonts w:hint="eastAsia"/>
        </w:rPr>
        <w:t>7县</w:t>
      </w:r>
      <w:r>
        <w:t>（</w:t>
      </w:r>
      <w:r>
        <w:rPr>
          <w:rFonts w:hint="eastAsia"/>
        </w:rPr>
        <w:t>潼关</w:t>
      </w:r>
      <w:r>
        <w:t>、</w:t>
      </w:r>
      <w:r>
        <w:rPr>
          <w:rFonts w:hint="eastAsia"/>
        </w:rPr>
        <w:t>大荔</w:t>
      </w:r>
      <w:r>
        <w:t>、</w:t>
      </w:r>
      <w:r>
        <w:rPr>
          <w:rFonts w:hint="eastAsia"/>
        </w:rPr>
        <w:t>澄城</w:t>
      </w:r>
      <w:r>
        <w:t>、合阳、蒲城</w:t>
      </w:r>
      <w:r>
        <w:rPr>
          <w:rFonts w:hint="eastAsia"/>
        </w:rPr>
        <w:t>、</w:t>
      </w:r>
      <w:r>
        <w:t>富平、白水）</w:t>
      </w:r>
      <w:r>
        <w:rPr>
          <w:rFonts w:hint="eastAsia"/>
        </w:rPr>
        <w:t>和</w:t>
      </w:r>
      <w:r>
        <w:t>国家级高新区、省级经济技术开发区、卤阳湖现代产业综合开发区、华山风景名胜区</w:t>
      </w:r>
      <w:r>
        <w:rPr>
          <w:rFonts w:hint="eastAsia"/>
        </w:rPr>
        <w:t>。</w:t>
      </w:r>
    </w:p>
    <w:p>
      <w:pPr>
        <w:pStyle w:val="129"/>
      </w:pPr>
      <w:r>
        <w:drawing>
          <wp:inline distT="0" distB="0" distL="0" distR="0">
            <wp:extent cx="4403725" cy="5440680"/>
            <wp:effectExtent l="0" t="0" r="0" b="7620"/>
            <wp:docPr id="59" name="图片 59" descr="E:\20160802 渭南市新能源新材料产业规划\04 作图\渭南市行政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E:\20160802 渭南市新能源新材料产业规划\04 作图\渭南市行政图.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4408494" cy="5447025"/>
                    </a:xfrm>
                    <a:prstGeom prst="rect">
                      <a:avLst/>
                    </a:prstGeom>
                    <a:noFill/>
                    <a:ln>
                      <a:noFill/>
                    </a:ln>
                  </pic:spPr>
                </pic:pic>
              </a:graphicData>
            </a:graphic>
          </wp:inline>
        </w:drawing>
      </w:r>
    </w:p>
    <w:p>
      <w:pPr>
        <w:pStyle w:val="137"/>
        <w:numPr>
          <w:ilvl w:val="0"/>
          <w:numId w:val="6"/>
        </w:numPr>
      </w:pPr>
      <w:r>
        <w:rPr>
          <w:rFonts w:hint="eastAsia"/>
        </w:rPr>
        <w:t>渭南市</w:t>
      </w:r>
      <w:r>
        <w:t>行政区划</w:t>
      </w:r>
      <w:r>
        <w:rPr>
          <w:rFonts w:hint="eastAsia"/>
        </w:rPr>
        <w:t>图</w:t>
      </w:r>
    </w:p>
    <w:p>
      <w:pPr>
        <w:pStyle w:val="125"/>
      </w:pPr>
      <w:bookmarkStart w:id="3" w:name="_Toc8650"/>
      <w:r>
        <w:rPr>
          <w:rFonts w:hint="eastAsia"/>
        </w:rPr>
        <w:t>规划背景</w:t>
      </w:r>
      <w:bookmarkEnd w:id="3"/>
    </w:p>
    <w:p>
      <w:pPr>
        <w:pStyle w:val="126"/>
      </w:pPr>
      <w:r>
        <w:rPr>
          <w:rFonts w:hint="eastAsia"/>
        </w:rPr>
        <w:t>国家大力</w:t>
      </w:r>
      <w:r>
        <w:t>发展新能源新材料的政策驱动</w:t>
      </w:r>
    </w:p>
    <w:p>
      <w:pPr>
        <w:pStyle w:val="128"/>
      </w:pPr>
      <w:r>
        <w:rPr>
          <w:rFonts w:hint="eastAsia"/>
        </w:rPr>
        <w:t>战略性新兴产业是引导未来经济社会发展的重要力量。发展战略性新兴产业已成为世界主要国家抢占新一轮经济和科技发展制高点的重大战略。战略性新兴产业是以重大技术突破和重大发展需求为基础，对经济社会全局和长远发展具有重大引领带动作用，知识技术密集、物质资源消耗少、成长潜力大、综合效益好的产业。加快培育和发展战略性新兴产业对推进我国现代化建设具有重要战略意义。</w:t>
      </w:r>
    </w:p>
    <w:p>
      <w:pPr>
        <w:pStyle w:val="128"/>
      </w:pPr>
      <w:r>
        <w:rPr>
          <w:rFonts w:hint="eastAsia"/>
        </w:rPr>
        <w:t>《国务院</w:t>
      </w:r>
      <w:r>
        <w:t>关于加快培育和发展战略性新兴产业的决定</w:t>
      </w:r>
      <w:r>
        <w:rPr>
          <w:rFonts w:hint="eastAsia"/>
        </w:rPr>
        <w:t>》中</w:t>
      </w:r>
      <w:r>
        <w:t>明确了我国战略新兴产业的发展方向</w:t>
      </w:r>
      <w:r>
        <w:rPr>
          <w:rFonts w:hint="eastAsia"/>
        </w:rPr>
        <w:t>，包括节能环保产业、新一代信息技术产业、生物产业、高端装备制造产业、新能源产业、新材料产业和新能源汽车产业等</w:t>
      </w:r>
      <w:r>
        <w:t>七种</w:t>
      </w:r>
      <w:r>
        <w:rPr>
          <w:rFonts w:hint="eastAsia"/>
        </w:rPr>
        <w:t>。同时对各种</w:t>
      </w:r>
      <w:r>
        <w:t>产业方向提出</w:t>
      </w:r>
      <w:r>
        <w:rPr>
          <w:rFonts w:hint="eastAsia"/>
        </w:rPr>
        <w:t>了</w:t>
      </w:r>
      <w:r>
        <w:t>明确的发展方向引导。</w:t>
      </w:r>
    </w:p>
    <w:p>
      <w:pPr>
        <w:pStyle w:val="129"/>
      </w:pPr>
      <w:r>
        <w:drawing>
          <wp:inline distT="0" distB="0" distL="0" distR="0">
            <wp:extent cx="5274310" cy="3593465"/>
            <wp:effectExtent l="57150" t="0" r="40640" b="0"/>
            <wp:docPr id="53" name="图示 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pPr>
        <w:pStyle w:val="137"/>
        <w:numPr>
          <w:ilvl w:val="0"/>
          <w:numId w:val="6"/>
        </w:numPr>
      </w:pPr>
      <w:r>
        <w:rPr>
          <w:rFonts w:hint="eastAsia"/>
        </w:rPr>
        <w:t>我国</w:t>
      </w:r>
      <w:r>
        <w:t>重点发展的战略性新兴产业</w:t>
      </w:r>
    </w:p>
    <w:p>
      <w:pPr>
        <w:pStyle w:val="128"/>
      </w:pPr>
      <w:r>
        <w:rPr>
          <w:rFonts w:hint="eastAsia"/>
        </w:rPr>
        <w:t>（1）新能源产业</w:t>
      </w:r>
    </w:p>
    <w:p>
      <w:pPr>
        <w:pStyle w:val="128"/>
      </w:pPr>
      <w:r>
        <w:rPr>
          <w:rFonts w:hint="eastAsia"/>
        </w:rPr>
        <w:t>积极研发新一代核能技术和先进反应堆，发展核能产业。加快太阳能热利用技术推广应用，开拓多元化的太阳能光伏光热发电市场。提高风电技术装备水平，有序推进风电规模化发展，加快适应新能源发展的智能电网及运行体系建设。因地制宜开发利用生物质能。</w:t>
      </w:r>
    </w:p>
    <w:p>
      <w:pPr>
        <w:pStyle w:val="128"/>
      </w:pPr>
      <w:r>
        <w:rPr>
          <w:rFonts w:hint="eastAsia"/>
        </w:rPr>
        <w:t>（2）新材料产业</w:t>
      </w:r>
    </w:p>
    <w:p>
      <w:pPr>
        <w:pStyle w:val="128"/>
      </w:pPr>
      <w:r>
        <w:rPr>
          <w:rFonts w:hint="eastAsia"/>
        </w:rPr>
        <w:t>大力发展稀土功能材料、高性能膜材料、特种玻璃、功能陶瓷、半导体照明材料等新型功能材料。积极发展高品质特殊钢、新型合金材料、工程塑料等先进结构材料。提升碳纤维、芳纶、超高分子量聚乙烯纤维等高性能纤维及其复合材料发展水平。开展纳米、超导、智能等共性基础材料研究。</w:t>
      </w:r>
    </w:p>
    <w:p>
      <w:pPr>
        <w:pStyle w:val="128"/>
      </w:pPr>
      <w:r>
        <w:rPr>
          <w:rFonts w:hint="eastAsia"/>
        </w:rPr>
        <w:t>（3）新能源汽车产业</w:t>
      </w:r>
    </w:p>
    <w:p>
      <w:pPr>
        <w:pStyle w:val="128"/>
      </w:pPr>
      <w:r>
        <w:rPr>
          <w:rFonts w:hint="eastAsia"/>
        </w:rPr>
        <w:t>着力突破动力电池、驱动电机和电子控制领域关键核心技术，推进插电式混合动力汽车、纯电动汽车推广应用和产业化。同时，开展燃料电池汽车相关前沿技术研发，大力推进高能效、低排放节能汽车发展。</w:t>
      </w:r>
    </w:p>
    <w:p>
      <w:pPr>
        <w:pStyle w:val="128"/>
      </w:pPr>
      <w:r>
        <w:rPr>
          <w:rFonts w:hint="eastAsia"/>
        </w:rPr>
        <w:t>2015年3月16日，国家发改委、财政部、科技部等23个部委召开了针对战略性新兴产业发展的部际联席会议。节能环保产业、新一代信息技术产业、生物产业、高端装备制造产业、新能源产业、新材料产业、新能源汽车产业等七大产业已成为我国重点培育的战略新兴产业。</w:t>
      </w:r>
    </w:p>
    <w:p>
      <w:pPr>
        <w:pStyle w:val="128"/>
      </w:pPr>
      <w:r>
        <w:rPr>
          <w:rFonts w:hint="eastAsia"/>
        </w:rPr>
        <w:t>《陕西省“十三五”战略性新兴产业发展规划》提出，推动新材料产业高端化发展，推动新能源产业稳步发展，推动新能源汽车产业快速发展。</w:t>
      </w:r>
    </w:p>
    <w:p>
      <w:pPr>
        <w:pStyle w:val="128"/>
      </w:pPr>
      <w:r>
        <w:rPr>
          <w:rFonts w:hint="eastAsia"/>
        </w:rPr>
        <w:t>在</w:t>
      </w:r>
      <w:r>
        <w:t>2014</w:t>
      </w:r>
      <w:r>
        <w:rPr>
          <w:rFonts w:hint="eastAsia"/>
        </w:rPr>
        <w:t>年</w:t>
      </w:r>
      <w:r>
        <w:t>6</w:t>
      </w:r>
      <w:r>
        <w:rPr>
          <w:rFonts w:hint="eastAsia"/>
        </w:rPr>
        <w:t>月</w:t>
      </w:r>
      <w:r>
        <w:t>13</w:t>
      </w:r>
      <w:r>
        <w:rPr>
          <w:rFonts w:hint="eastAsia"/>
        </w:rPr>
        <w:t>日召开的中央财经领导小组第六次会议上习近平总书记明确提出：“要推动能源消费、能源供给、能源技术和能源体制四方面的‘革命’，要以绿色低碳为发展方向，顺应全球‘能源转型’的大趋势，把发展可再生能源作为新时期能源发展的主攻方向，大幅增加可再生能源在能源生产和消费中的比重，在各个领域最大限度利用可再生能源替代化石能源。”</w:t>
      </w:r>
    </w:p>
    <w:p>
      <w:pPr>
        <w:pStyle w:val="128"/>
      </w:pPr>
      <w:r>
        <w:rPr>
          <w:rFonts w:hint="eastAsia"/>
        </w:rPr>
        <w:t>2014年12月16日，国家能源局综合司下发《国家能源局综合司关于做好太阳能发展“十三五”规划编制工作的通知》（国能综新能[2014]991号）。通知要求：“要充分发挥发展规划对技术进步的作用。依托重点基地、重点项目和重点工程，协调推动太阳能利用和产业发展”，“要做到经济效益与社会效益相统一。发挥好太阳能利用方式多、覆盖地域广等特点，将太阳能利用与生态建设、城市建设、扶贫发展、农业经济、污染治理相结合，创新太阳能利用与生态文明建设的新方式，使太阳能利用取得尽可能大的经济效益和社会效益”。</w:t>
      </w:r>
    </w:p>
    <w:p>
      <w:pPr>
        <w:pStyle w:val="128"/>
      </w:pPr>
      <w:r>
        <w:rPr>
          <w:rFonts w:hint="eastAsia"/>
        </w:rPr>
        <w:t>根据2016年陕西省能源发展报告，陕西省到2020年全省非化石能源占一次能源消费比重的总量目标要达到13%；非化石能源装机规模达到2020万kW（其中水电500万kW、风电750万kW、光伏发电750万kW、生物质发电20万kW）；非化石能源装机站全部装机的比重达到24.4%；可再生能源发电量占全社会用电量比重达到20.2%。</w:t>
      </w:r>
    </w:p>
    <w:p>
      <w:pPr>
        <w:pStyle w:val="126"/>
      </w:pPr>
      <w:r>
        <w:rPr>
          <w:rFonts w:hint="eastAsia"/>
        </w:rPr>
        <w:t>渭南市产业转型和升级的必要性分析</w:t>
      </w:r>
    </w:p>
    <w:p>
      <w:pPr>
        <w:pStyle w:val="128"/>
      </w:pPr>
      <w:r>
        <w:t>2015年,面对复杂的国内外经济环境和不断加大的经济下行压力，渭南市委、市政府科学认识经济发展的新常态，主动适应和积极引领新常态,牢牢把握</w:t>
      </w:r>
      <w:r>
        <w:rPr>
          <w:rFonts w:hint="eastAsia"/>
        </w:rPr>
        <w:t>“</w:t>
      </w:r>
      <w:r>
        <w:t>稳中求进</w:t>
      </w:r>
      <w:r>
        <w:rPr>
          <w:rFonts w:hint="eastAsia"/>
        </w:rPr>
        <w:t>”</w:t>
      </w:r>
      <w:r>
        <w:t>的总基调，全力推动全市经济稳步增长，全年经济运行呈现出</w:t>
      </w:r>
      <w:r>
        <w:rPr>
          <w:rFonts w:hint="eastAsia"/>
        </w:rPr>
        <w:t>“</w:t>
      </w:r>
      <w:r>
        <w:t>缓中趋稳，稳中有进</w:t>
      </w:r>
      <w:r>
        <w:rPr>
          <w:rFonts w:hint="eastAsia"/>
        </w:rPr>
        <w:t>”</w:t>
      </w:r>
      <w:r>
        <w:t>的运行态势。</w:t>
      </w:r>
    </w:p>
    <w:p>
      <w:pPr>
        <w:pStyle w:val="129"/>
      </w:pPr>
      <w:r>
        <w:drawing>
          <wp:inline distT="0" distB="0" distL="0" distR="0">
            <wp:extent cx="2566035" cy="1980565"/>
            <wp:effectExtent l="0" t="0" r="0" b="0"/>
            <wp:docPr id="12" name="图表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pPr>
        <w:pStyle w:val="137"/>
        <w:numPr>
          <w:ilvl w:val="0"/>
          <w:numId w:val="6"/>
        </w:numPr>
      </w:pPr>
      <w:r>
        <w:rPr>
          <w:rFonts w:hint="eastAsia"/>
        </w:rPr>
        <w:t>渭南市2015年</w:t>
      </w:r>
      <w:r>
        <w:t>产业结构</w:t>
      </w:r>
    </w:p>
    <w:p>
      <w:pPr>
        <w:pStyle w:val="128"/>
      </w:pPr>
      <w:r>
        <w:rPr>
          <w:rFonts w:hint="eastAsia"/>
        </w:rPr>
        <w:t>2015年</w:t>
      </w:r>
      <w:r>
        <w:t>，渭南市</w:t>
      </w:r>
      <w:r>
        <w:rPr>
          <w:rFonts w:hint="eastAsia"/>
        </w:rPr>
        <w:t>三次</w:t>
      </w:r>
      <w:r>
        <w:t>产业结构为</w:t>
      </w:r>
      <w:r>
        <w:rPr>
          <w:rFonts w:hint="eastAsia"/>
        </w:rPr>
        <w:t>15:50:35，其中</w:t>
      </w:r>
      <w:r>
        <w:t>第一产业增加值213.92亿元，增长5.5%；第二产业增加值737.22亿元，增长9.0%，第三产业增加值517.94亿元，增长9.4%。</w:t>
      </w:r>
      <w:r>
        <w:rPr>
          <w:rFonts w:hint="eastAsia"/>
        </w:rPr>
        <w:t>从产业结构变动情况来看，改革开放以来，渭南第一产业比重不断下降，从1978年的47.7%下降到</w:t>
      </w:r>
      <w:r>
        <w:t>2015</w:t>
      </w:r>
      <w:r>
        <w:rPr>
          <w:rFonts w:hint="eastAsia"/>
        </w:rPr>
        <w:t>年的15%。第二、三产业比重稳中有升，由1978年的52.3％上升到2015年的85</w:t>
      </w:r>
      <w:r>
        <w:t>%，增长</w:t>
      </w:r>
      <w:r>
        <w:rPr>
          <w:rFonts w:hint="eastAsia"/>
        </w:rPr>
        <w:t>32.7个</w:t>
      </w:r>
      <w:r>
        <w:t>百分点，</w:t>
      </w:r>
      <w:r>
        <w:rPr>
          <w:rFonts w:hint="eastAsia"/>
        </w:rPr>
        <w:t>非农产业对经济发展的主导性地位不断强化。</w:t>
      </w:r>
    </w:p>
    <w:p>
      <w:pPr>
        <w:pStyle w:val="128"/>
      </w:pPr>
      <w:r>
        <w:rPr>
          <w:rFonts w:hint="eastAsia"/>
        </w:rPr>
        <w:t>“十二五”期间</w:t>
      </w:r>
      <w:r>
        <w:t>，全市工业经济从弱到强，不断发展壮大，特别是在</w:t>
      </w:r>
      <w:r>
        <w:rPr>
          <w:rFonts w:hint="eastAsia"/>
        </w:rPr>
        <w:t>“</w:t>
      </w:r>
      <w:r>
        <w:t>工业强市</w:t>
      </w:r>
      <w:r>
        <w:rPr>
          <w:rFonts w:hint="eastAsia"/>
        </w:rPr>
        <w:t>”等</w:t>
      </w:r>
      <w:r>
        <w:t>一</w:t>
      </w:r>
      <w:r>
        <w:rPr>
          <w:rFonts w:hint="eastAsia"/>
        </w:rPr>
        <w:t>系列</w:t>
      </w:r>
      <w:r>
        <w:t>政策</w:t>
      </w:r>
      <w:r>
        <w:rPr>
          <w:rFonts w:hint="eastAsia"/>
        </w:rPr>
        <w:t>引导下</w:t>
      </w:r>
      <w:r>
        <w:t>，</w:t>
      </w:r>
      <w:r>
        <w:rPr>
          <w:rFonts w:hint="eastAsia"/>
        </w:rPr>
        <w:t>加快</w:t>
      </w:r>
      <w:r>
        <w:t>推进新型工业化建设，</w:t>
      </w:r>
      <w:r>
        <w:rPr>
          <w:rFonts w:hint="eastAsia"/>
        </w:rPr>
        <w:t>工业</w:t>
      </w:r>
      <w:r>
        <w:t>经济在结构战略调整</w:t>
      </w:r>
      <w:r>
        <w:rPr>
          <w:rFonts w:hint="eastAsia"/>
        </w:rPr>
        <w:t>中</w:t>
      </w:r>
      <w:r>
        <w:t>不断发展壮大，</w:t>
      </w:r>
      <w:r>
        <w:rPr>
          <w:rFonts w:hint="eastAsia"/>
        </w:rPr>
        <w:t>逐步形成了</w:t>
      </w:r>
      <w:r>
        <w:t>以能源、化工、装备制造、食品、非金属矿物制品和有色冶金等六大主导行业为主</w:t>
      </w:r>
      <w:r>
        <w:rPr>
          <w:rFonts w:hint="eastAsia"/>
        </w:rPr>
        <w:t>的</w:t>
      </w:r>
      <w:r>
        <w:t>工业生产体系</w:t>
      </w:r>
      <w:r>
        <w:rPr>
          <w:rFonts w:hint="eastAsia"/>
        </w:rPr>
        <w:t>，其中</w:t>
      </w:r>
      <w:r>
        <w:t>有色冶炼和能源化工的</w:t>
      </w:r>
      <w:r>
        <w:rPr>
          <w:rFonts w:hint="eastAsia"/>
        </w:rPr>
        <w:t>GDP贡献</w:t>
      </w:r>
      <w:r>
        <w:t>超过了</w:t>
      </w:r>
      <w:r>
        <w:rPr>
          <w:rFonts w:hint="eastAsia"/>
        </w:rPr>
        <w:t>65</w:t>
      </w:r>
      <w:r>
        <w:t>%，</w:t>
      </w:r>
      <w:r>
        <w:rPr>
          <w:rFonts w:hint="eastAsia"/>
        </w:rPr>
        <w:t>“重化工”特征</w:t>
      </w:r>
      <w:r>
        <w:t>明显，高耗能、资源型工业比重过大，</w:t>
      </w:r>
      <w:r>
        <w:rPr>
          <w:rFonts w:hint="eastAsia"/>
        </w:rPr>
        <w:t>高新技术和</w:t>
      </w:r>
      <w:r>
        <w:t>战略性新兴产业比重偏低，受国家环保政策影响，发展的环境压力增大。</w:t>
      </w:r>
    </w:p>
    <w:p>
      <w:pPr>
        <w:pStyle w:val="128"/>
      </w:pPr>
      <w:r>
        <w:rPr>
          <w:rFonts w:hint="eastAsia"/>
        </w:rPr>
        <w:t>为应对环保、能源危机及产业升级的新形势与新要求，培育新的经济增长点，“十三五”期间</w:t>
      </w:r>
      <w:r>
        <w:t>，应</w:t>
      </w:r>
      <w:r>
        <w:rPr>
          <w:rFonts w:hint="eastAsia"/>
        </w:rPr>
        <w:t>继续</w:t>
      </w:r>
      <w:r>
        <w:t>加快渭南经济发展，</w:t>
      </w:r>
      <w:r>
        <w:rPr>
          <w:rFonts w:hint="eastAsia"/>
        </w:rPr>
        <w:t>把</w:t>
      </w:r>
      <w:r>
        <w:t>转变工业经济发展方式、促进工业转型升级作为发展的突破口，</w:t>
      </w:r>
      <w:r>
        <w:rPr>
          <w:rFonts w:hint="eastAsia"/>
        </w:rPr>
        <w:t>着力</w:t>
      </w:r>
      <w:r>
        <w:t>推进结构性改革，</w:t>
      </w:r>
      <w:r>
        <w:rPr>
          <w:rFonts w:hint="eastAsia"/>
        </w:rPr>
        <w:t>培育</w:t>
      </w:r>
      <w:r>
        <w:t>新兴产业，加快产业与产品结构调整，</w:t>
      </w:r>
      <w:r>
        <w:rPr>
          <w:rFonts w:hint="eastAsia"/>
        </w:rPr>
        <w:t>打造</w:t>
      </w:r>
      <w:r>
        <w:t>新的经济增长极，</w:t>
      </w:r>
      <w:r>
        <w:rPr>
          <w:rFonts w:hint="eastAsia"/>
        </w:rPr>
        <w:t>促进</w:t>
      </w:r>
      <w:r>
        <w:t>产业升级转型</w:t>
      </w:r>
      <w:r>
        <w:rPr>
          <w:rFonts w:hint="eastAsia"/>
        </w:rPr>
        <w:t>，</w:t>
      </w:r>
      <w:r>
        <w:t>实现工业持续稳定增长。</w:t>
      </w:r>
    </w:p>
    <w:p>
      <w:pPr>
        <w:pStyle w:val="126"/>
      </w:pPr>
      <w:r>
        <w:rPr>
          <w:rFonts w:hint="eastAsia"/>
        </w:rPr>
        <w:t>产业发展</w:t>
      </w:r>
      <w:r>
        <w:t>潜力</w:t>
      </w:r>
      <w:r>
        <w:rPr>
          <w:rFonts w:hint="eastAsia"/>
        </w:rPr>
        <w:t>推动</w:t>
      </w:r>
    </w:p>
    <w:p>
      <w:pPr>
        <w:pStyle w:val="128"/>
      </w:pPr>
      <w:r>
        <w:rPr>
          <w:rFonts w:hint="eastAsia"/>
        </w:rPr>
        <w:t>在</w:t>
      </w:r>
      <w:r>
        <w:t>全球气候变化</w:t>
      </w:r>
      <w:r>
        <w:rPr>
          <w:rFonts w:hint="eastAsia"/>
        </w:rPr>
        <w:t>和石化</w:t>
      </w:r>
      <w:r>
        <w:t>能源逐渐枯竭的背景下，</w:t>
      </w:r>
      <w:r>
        <w:rPr>
          <w:rFonts w:hint="eastAsia"/>
        </w:rPr>
        <w:t>“低碳经济”日益受到</w:t>
      </w:r>
      <w:r>
        <w:t>世界各国的关注，多数国家纷纷提出可再生能源发展目标，</w:t>
      </w:r>
      <w:r>
        <w:rPr>
          <w:rFonts w:hint="eastAsia"/>
        </w:rPr>
        <w:t>丹麦</w:t>
      </w:r>
      <w:r>
        <w:t>提出到</w:t>
      </w:r>
      <w:r>
        <w:rPr>
          <w:rFonts w:hint="eastAsia"/>
        </w:rPr>
        <w:t>2050年</w:t>
      </w:r>
      <w:r>
        <w:t>全部摆脱</w:t>
      </w:r>
      <w:r>
        <w:rPr>
          <w:rFonts w:hint="eastAsia"/>
        </w:rPr>
        <w:t>对</w:t>
      </w:r>
      <w:r>
        <w:t>化石能源的</w:t>
      </w:r>
      <w:r>
        <w:rPr>
          <w:rFonts w:hint="eastAsia"/>
        </w:rPr>
        <w:t>依赖</w:t>
      </w:r>
      <w:r>
        <w:t>；德国则提出到</w:t>
      </w:r>
      <w:r>
        <w:rPr>
          <w:rFonts w:hint="eastAsia"/>
        </w:rPr>
        <w:t>2050年</w:t>
      </w:r>
      <w:r>
        <w:t>可再生能源消费量占终端能源消费总量的比例达到</w:t>
      </w:r>
      <w:r>
        <w:rPr>
          <w:rFonts w:hint="eastAsia"/>
        </w:rPr>
        <w:t>60</w:t>
      </w:r>
      <w:r>
        <w:t>%</w:t>
      </w:r>
      <w:r>
        <w:rPr>
          <w:rFonts w:hint="eastAsia"/>
        </w:rPr>
        <w:t>，</w:t>
      </w:r>
      <w:r>
        <w:t>可再生能源发电占总发电比例达到</w:t>
      </w:r>
      <w:r>
        <w:rPr>
          <w:rFonts w:hint="eastAsia"/>
        </w:rPr>
        <w:t>80</w:t>
      </w:r>
      <w:r>
        <w:t>%的目标。</w:t>
      </w:r>
      <w:r>
        <w:rPr>
          <w:rFonts w:hint="eastAsia"/>
        </w:rPr>
        <w:t>随着</w:t>
      </w:r>
      <w:r>
        <w:t>中国经济的快速增长，能源、资源、环境已成为未来发展严重的制约因素，发展低碳经济</w:t>
      </w:r>
      <w:r>
        <w:rPr>
          <w:rFonts w:hint="eastAsia"/>
        </w:rPr>
        <w:t>，</w:t>
      </w:r>
      <w:r>
        <w:t>推动节能减排</w:t>
      </w:r>
      <w:r>
        <w:rPr>
          <w:rFonts w:hint="eastAsia"/>
        </w:rPr>
        <w:t>成了</w:t>
      </w:r>
      <w:r>
        <w:t>当务之急。</w:t>
      </w:r>
    </w:p>
    <w:p>
      <w:pPr>
        <w:pStyle w:val="128"/>
      </w:pPr>
      <w:r>
        <w:rPr>
          <w:rFonts w:hint="eastAsia"/>
        </w:rPr>
        <w:t>大力</w:t>
      </w:r>
      <w:r>
        <w:t>发展可再生能源是我国践行气候变化减排承诺的具体行动。党和</w:t>
      </w:r>
      <w:r>
        <w:rPr>
          <w:rFonts w:hint="eastAsia"/>
        </w:rPr>
        <w:t>国家</w:t>
      </w:r>
      <w:r>
        <w:t>领导人高度重视可再生能源发展，习近平主席在中美元首气候变化联合声明、联合国巴黎气候变化大会等国际场合作出庄严承诺，中国</w:t>
      </w:r>
      <w:r>
        <w:rPr>
          <w:rFonts w:hint="eastAsia"/>
        </w:rPr>
        <w:t>2020年</w:t>
      </w:r>
      <w:r>
        <w:t>非化石能源占一次能源消费比重达</w:t>
      </w:r>
      <w:r>
        <w:rPr>
          <w:rFonts w:hint="eastAsia"/>
        </w:rPr>
        <w:t>15</w:t>
      </w:r>
      <w:r>
        <w:t>%，</w:t>
      </w:r>
      <w:r>
        <w:rPr>
          <w:rFonts w:hint="eastAsia"/>
        </w:rPr>
        <w:t>2030年</w:t>
      </w:r>
      <w:r>
        <w:t>非化石能源占一次消费</w:t>
      </w:r>
      <w:r>
        <w:rPr>
          <w:rFonts w:hint="eastAsia"/>
        </w:rPr>
        <w:t>比重达20</w:t>
      </w:r>
      <w:r>
        <w:t>%。</w:t>
      </w:r>
      <w:r>
        <w:rPr>
          <w:rFonts w:hint="eastAsia"/>
        </w:rPr>
        <w:t>上述</w:t>
      </w:r>
      <w:r>
        <w:t>目标作为推动能源生产和消费革命，建立清洁</w:t>
      </w:r>
      <w:r>
        <w:rPr>
          <w:rFonts w:hint="eastAsia"/>
        </w:rPr>
        <w:t>低碳</w:t>
      </w:r>
      <w:r>
        <w:t>、安全高效的现代能源体系的现实需要，在《</w:t>
      </w:r>
      <w:r>
        <w:rPr>
          <w:rFonts w:hint="eastAsia"/>
        </w:rPr>
        <w:t>中华</w:t>
      </w:r>
      <w:r>
        <w:t>人民共和国国民经济和社会发展第十三个五年规划纲要》</w:t>
      </w:r>
      <w:r>
        <w:rPr>
          <w:rFonts w:hint="eastAsia"/>
        </w:rPr>
        <w:t>中</w:t>
      </w:r>
      <w:r>
        <w:t>明确为约束性指标，纳入国民经济和社会发展中长期规划。</w:t>
      </w:r>
    </w:p>
    <w:p>
      <w:pPr>
        <w:pStyle w:val="128"/>
      </w:pPr>
      <w:r>
        <w:rPr>
          <w:rFonts w:hint="eastAsia"/>
        </w:rPr>
        <w:t>要实现我国</w:t>
      </w:r>
      <w:r>
        <w:t>对国际社会做出的节能减排的承诺，必须发展核电、水电以及风电、光电、</w:t>
      </w:r>
      <w:r>
        <w:rPr>
          <w:rFonts w:hint="eastAsia"/>
        </w:rPr>
        <w:t>生物质能</w:t>
      </w:r>
      <w:r>
        <w:t>等非水可再生能源电力。</w:t>
      </w:r>
      <w:r>
        <w:rPr>
          <w:rFonts w:hint="eastAsia"/>
        </w:rPr>
        <w:t>根据</w:t>
      </w:r>
      <w:r>
        <w:t>测算，除去核电和水电的贡献，到</w:t>
      </w:r>
      <w:r>
        <w:rPr>
          <w:rFonts w:hint="eastAsia"/>
        </w:rPr>
        <w:t>2020年</w:t>
      </w:r>
      <w:r>
        <w:t>，非水可再生能源装机要达到</w:t>
      </w:r>
      <w:r>
        <w:rPr>
          <w:rFonts w:hint="eastAsia"/>
        </w:rPr>
        <w:t>425GW，</w:t>
      </w:r>
      <w:r>
        <w:t>发电量</w:t>
      </w:r>
      <w:r>
        <w:rPr>
          <w:rFonts w:hint="eastAsia"/>
        </w:rPr>
        <w:t>6500亿</w:t>
      </w:r>
      <w:r>
        <w:t>kW·h</w:t>
      </w:r>
      <w:r>
        <w:rPr>
          <w:rFonts w:hint="eastAsia"/>
        </w:rPr>
        <w:t>左右</w:t>
      </w:r>
      <w:r>
        <w:t>，在全社会发电量中的比重要达到</w:t>
      </w:r>
      <w:r>
        <w:rPr>
          <w:rFonts w:hint="eastAsia"/>
        </w:rPr>
        <w:t>9</w:t>
      </w:r>
      <w:r>
        <w:t>%以上</w:t>
      </w:r>
      <w:r>
        <w:rPr>
          <w:rFonts w:hint="eastAsia"/>
        </w:rPr>
        <w:t>。</w:t>
      </w:r>
    </w:p>
    <w:p>
      <w:pPr>
        <w:pStyle w:val="128"/>
      </w:pPr>
      <w:r>
        <w:rPr>
          <w:rFonts w:hint="eastAsia"/>
        </w:rPr>
        <w:t>通过大规模发展太阳能利用产业，有力推动地方经济发展转型。预计“十三五”时期,太阳能发电产业对我国GDP的贡献将达到10000亿元，太阳能热利用产业贡献将达到8000亿元。预计到2020年太阳能利用产业从业人数可达到700万人，太阳能热利用产业从业人数可迖到500万人。</w:t>
      </w:r>
    </w:p>
    <w:p>
      <w:pPr>
        <w:pStyle w:val="128"/>
      </w:pPr>
      <w:r>
        <w:rPr>
          <w:rFonts w:hint="eastAsia"/>
        </w:rPr>
        <w:t>发展</w:t>
      </w:r>
      <w:r>
        <w:t>新能源是</w:t>
      </w:r>
      <w:r>
        <w:rPr>
          <w:rFonts w:hint="eastAsia"/>
        </w:rPr>
        <w:t>国际社会</w:t>
      </w:r>
      <w:r>
        <w:t>共同认知的</w:t>
      </w:r>
      <w:r>
        <w:rPr>
          <w:rFonts w:hint="eastAsia"/>
        </w:rPr>
        <w:t>可持续发展</w:t>
      </w:r>
      <w:r>
        <w:t>的必由之路，</w:t>
      </w:r>
      <w:r>
        <w:rPr>
          <w:rFonts w:hint="eastAsia"/>
        </w:rPr>
        <w:t>是</w:t>
      </w:r>
      <w:r>
        <w:t>应对能源枯竭和环境保护的</w:t>
      </w:r>
      <w:r>
        <w:rPr>
          <w:rFonts w:hint="eastAsia"/>
        </w:rPr>
        <w:t>有效</w:t>
      </w:r>
      <w:r>
        <w:t>手段，</w:t>
      </w:r>
      <w:r>
        <w:rPr>
          <w:rFonts w:hint="eastAsia"/>
        </w:rPr>
        <w:t>新能源产业</w:t>
      </w:r>
      <w:r>
        <w:t>市场具有非常</w:t>
      </w:r>
      <w:r>
        <w:rPr>
          <w:rFonts w:hint="eastAsia"/>
        </w:rPr>
        <w:t>明朗的</w:t>
      </w:r>
      <w:r>
        <w:t>发展前景。</w:t>
      </w:r>
    </w:p>
    <w:p>
      <w:pPr>
        <w:pStyle w:val="128"/>
      </w:pPr>
      <w:r>
        <w:rPr>
          <w:rFonts w:hint="eastAsia"/>
        </w:rPr>
        <w:t>为应对环保、能源危机及产业升级的新形势与新要求，培育新的经济增长点，国务院已将新能源汽车列为战略性新兴产业之一，相继发布实施了《节能与新能源汽车产业发展规划（2012-2020年）》、《关于加快新能源汽车推广应用的指导意见》等一系列扶持政策。陕西省也积极响应国家号召，高度重视新能源汽车产业发展，出台了《贯彻落实国务院节能与新能源汽车产业发展规划的实施意见》等指导性文件，提出要着力推动陕西省新能源汽车技术研发取得明显进展，稳步扩大产业规模，努力建设成为国家重要的新能源汽车生产基地。</w:t>
      </w:r>
    </w:p>
    <w:p>
      <w:pPr>
        <w:pStyle w:val="128"/>
      </w:pPr>
      <w:r>
        <w:rPr>
          <w:rFonts w:hint="eastAsia"/>
        </w:rPr>
        <w:t>当下</w:t>
      </w:r>
      <w:r>
        <w:t>，</w:t>
      </w:r>
      <w:r>
        <w:rPr>
          <w:rFonts w:hint="eastAsia"/>
        </w:rPr>
        <w:t>主要汽车生产国和重要汽车生产企业均大力推动汽车动力系统电动化转型，未来15～20年新能源汽车产品竞争力加快提升，将使得替代燃油车进程不断加快。</w:t>
      </w:r>
    </w:p>
    <w:p>
      <w:pPr>
        <w:pStyle w:val="128"/>
      </w:pPr>
      <w:bookmarkStart w:id="4" w:name="_Toc444843497"/>
      <w:r>
        <w:rPr>
          <w:rFonts w:hint="eastAsia"/>
        </w:rPr>
        <w:t>陕西</w:t>
      </w:r>
      <w:r>
        <w:t>省政府高度重视新能源汽车汽车产业发展</w:t>
      </w:r>
      <w:bookmarkEnd w:id="4"/>
      <w:r>
        <w:rPr>
          <w:rFonts w:hint="eastAsia"/>
        </w:rPr>
        <w:t>，</w:t>
      </w:r>
      <w:r>
        <w:t>陕西省是仅次于浙江、天津、广东、上海，全国第5个颁布省级新能源汽车地方发展规划的省份。2013年5月，陕西省人民政府颁布了《陕西省人民政府关于贯彻落实国务院节能与新能源汽车产业发展规划的实施意见》（陕政发〔2013〕21号）（下简称《意见》）</w:t>
      </w:r>
      <w:r>
        <w:rPr>
          <w:rFonts w:hint="eastAsia"/>
        </w:rPr>
        <w:t>，</w:t>
      </w:r>
      <w:r>
        <w:t>明确提出到2020年纯电动汽车和插电式混合动力汽车产销量累计达到10万辆</w:t>
      </w:r>
      <w:r>
        <w:rPr>
          <w:rFonts w:hint="eastAsia"/>
        </w:rPr>
        <w:t>。</w:t>
      </w:r>
    </w:p>
    <w:p>
      <w:pPr>
        <w:pStyle w:val="125"/>
      </w:pPr>
      <w:bookmarkStart w:id="5" w:name="_Toc13611"/>
      <w:r>
        <w:rPr>
          <w:rFonts w:hint="eastAsia"/>
        </w:rPr>
        <w:t>规划依据</w:t>
      </w:r>
      <w:bookmarkEnd w:id="5"/>
    </w:p>
    <w:p>
      <w:pPr>
        <w:pStyle w:val="126"/>
      </w:pPr>
      <w:bookmarkStart w:id="6" w:name="_Toc433876951"/>
      <w:bookmarkStart w:id="7" w:name="_Toc426291019"/>
      <w:bookmarkStart w:id="8" w:name="_Toc433183184"/>
      <w:bookmarkStart w:id="9" w:name="_Toc426046331"/>
      <w:bookmarkStart w:id="10" w:name="_Toc428966108"/>
      <w:bookmarkStart w:id="11" w:name="_Toc452295735"/>
      <w:bookmarkStart w:id="12" w:name="_Toc447997542"/>
      <w:r>
        <w:rPr>
          <w:rFonts w:hint="eastAsia"/>
        </w:rPr>
        <w:t>能源、土地管理法律法规</w:t>
      </w:r>
      <w:bookmarkEnd w:id="6"/>
      <w:bookmarkEnd w:id="7"/>
      <w:bookmarkEnd w:id="8"/>
      <w:bookmarkEnd w:id="9"/>
      <w:bookmarkEnd w:id="10"/>
      <w:bookmarkEnd w:id="11"/>
      <w:bookmarkEnd w:id="12"/>
    </w:p>
    <w:p>
      <w:pPr>
        <w:pStyle w:val="128"/>
      </w:pPr>
      <w:r>
        <w:rPr>
          <w:rFonts w:hint="eastAsia"/>
        </w:rPr>
        <w:t>（1）</w:t>
      </w:r>
      <w:r>
        <w:t>《中华人民共和国土地管理法》</w:t>
      </w:r>
    </w:p>
    <w:p>
      <w:pPr>
        <w:pStyle w:val="128"/>
      </w:pPr>
      <w:r>
        <w:rPr>
          <w:rFonts w:hint="eastAsia"/>
        </w:rPr>
        <w:t>（2）《中华人民共和国城乡规划法》</w:t>
      </w:r>
    </w:p>
    <w:p>
      <w:pPr>
        <w:pStyle w:val="128"/>
      </w:pPr>
      <w:r>
        <w:rPr>
          <w:rFonts w:hint="eastAsia"/>
        </w:rPr>
        <w:t>（3）</w:t>
      </w:r>
      <w:r>
        <w:t>《中华人民共和国环境保护法》</w:t>
      </w:r>
    </w:p>
    <w:p>
      <w:pPr>
        <w:pStyle w:val="128"/>
      </w:pPr>
      <w:r>
        <w:rPr>
          <w:rFonts w:hint="eastAsia"/>
        </w:rPr>
        <w:t>（4）《中华人民共和国水土保持法》</w:t>
      </w:r>
    </w:p>
    <w:p>
      <w:pPr>
        <w:pStyle w:val="128"/>
      </w:pPr>
      <w:r>
        <w:rPr>
          <w:rFonts w:hint="eastAsia"/>
        </w:rPr>
        <w:t>（5）</w:t>
      </w:r>
      <w:r>
        <w:t>《中华人民共和国可再生能源法》</w:t>
      </w:r>
    </w:p>
    <w:p>
      <w:pPr>
        <w:pStyle w:val="128"/>
      </w:pPr>
      <w:r>
        <w:rPr>
          <w:rFonts w:hint="eastAsia"/>
        </w:rPr>
        <w:t>（6）《中华人民共和国土地管理法实施条例》</w:t>
      </w:r>
    </w:p>
    <w:p>
      <w:pPr>
        <w:pStyle w:val="128"/>
      </w:pPr>
      <w:r>
        <w:rPr>
          <w:rFonts w:hint="eastAsia"/>
        </w:rPr>
        <w:t>（7）</w:t>
      </w:r>
      <w:r>
        <w:t>国家</w:t>
      </w:r>
      <w:r>
        <w:rPr>
          <w:rFonts w:hint="eastAsia"/>
        </w:rPr>
        <w:t>其他</w:t>
      </w:r>
      <w:r>
        <w:t>相关法律法规</w:t>
      </w:r>
    </w:p>
    <w:p>
      <w:pPr>
        <w:pStyle w:val="126"/>
      </w:pPr>
      <w:bookmarkStart w:id="13" w:name="_Toc433876952"/>
      <w:bookmarkStart w:id="14" w:name="_Toc426046332"/>
      <w:bookmarkStart w:id="15" w:name="_Toc433183185"/>
      <w:bookmarkStart w:id="16" w:name="_Toc428966109"/>
      <w:bookmarkStart w:id="17" w:name="_Toc447997543"/>
      <w:bookmarkStart w:id="18" w:name="_Toc452295736"/>
      <w:bookmarkStart w:id="19" w:name="_Toc426291020"/>
      <w:r>
        <w:rPr>
          <w:rFonts w:hint="eastAsia"/>
        </w:rPr>
        <w:t>指导性文件及相关规划</w:t>
      </w:r>
      <w:bookmarkEnd w:id="13"/>
      <w:bookmarkEnd w:id="14"/>
      <w:bookmarkEnd w:id="15"/>
      <w:bookmarkEnd w:id="16"/>
      <w:bookmarkEnd w:id="17"/>
      <w:bookmarkEnd w:id="18"/>
      <w:bookmarkEnd w:id="19"/>
    </w:p>
    <w:p>
      <w:pPr>
        <w:pStyle w:val="128"/>
      </w:pPr>
      <w:r>
        <w:rPr>
          <w:rFonts w:hint="eastAsia"/>
        </w:rPr>
        <w:t>（1）《国务院关于大力实施促进中部地区崛起战略的若干意见》（国发〔2012〕43号）</w:t>
      </w:r>
    </w:p>
    <w:p>
      <w:pPr>
        <w:pStyle w:val="128"/>
      </w:pPr>
      <w:r>
        <w:rPr>
          <w:rFonts w:hint="eastAsia"/>
        </w:rPr>
        <w:t>（2）《国务院关于加快培育和发展战略性新兴产业的决定》(国发〔2010〕32号)</w:t>
      </w:r>
    </w:p>
    <w:p>
      <w:pPr>
        <w:pStyle w:val="128"/>
      </w:pPr>
      <w:r>
        <w:rPr>
          <w:rFonts w:hint="eastAsia"/>
        </w:rPr>
        <w:t>（3）《国家增材制造产业发展推进计划（2015-2016年）》</w:t>
      </w:r>
    </w:p>
    <w:p>
      <w:pPr>
        <w:pStyle w:val="128"/>
      </w:pPr>
      <w:r>
        <w:rPr>
          <w:rFonts w:hint="eastAsia"/>
        </w:rPr>
        <w:t>（4）《十二五</w:t>
      </w:r>
      <w:r>
        <w:t>国家战略新</w:t>
      </w:r>
      <w:r>
        <w:rPr>
          <w:rFonts w:hint="eastAsia"/>
        </w:rPr>
        <w:t>兴</w:t>
      </w:r>
      <w:r>
        <w:t>产业发展规划</w:t>
      </w:r>
      <w:r>
        <w:rPr>
          <w:rFonts w:hint="eastAsia"/>
        </w:rPr>
        <w:t>》</w:t>
      </w:r>
    </w:p>
    <w:p>
      <w:pPr>
        <w:pStyle w:val="128"/>
      </w:pPr>
      <w:r>
        <w:rPr>
          <w:rFonts w:hint="eastAsia"/>
        </w:rPr>
        <w:t>（5）《陕西省“十三五”战略性新兴产业发展规划》</w:t>
      </w:r>
    </w:p>
    <w:p>
      <w:pPr>
        <w:pStyle w:val="128"/>
      </w:pPr>
      <w:r>
        <w:rPr>
          <w:rFonts w:hint="eastAsia"/>
        </w:rPr>
        <w:t>（6）《关于支持渭南加快建设陕西东大门的若干意见》</w:t>
      </w:r>
    </w:p>
    <w:p>
      <w:pPr>
        <w:pStyle w:val="128"/>
      </w:pPr>
      <w:r>
        <w:rPr>
          <w:rFonts w:hint="eastAsia"/>
        </w:rPr>
        <w:t>（7）《中国的能源政策（2012）》白皮书</w:t>
      </w:r>
    </w:p>
    <w:p>
      <w:pPr>
        <w:pStyle w:val="128"/>
      </w:pPr>
      <w:r>
        <w:rPr>
          <w:rFonts w:hint="eastAsia"/>
        </w:rPr>
        <w:t>（8）</w:t>
      </w:r>
      <w:r>
        <w:t>《能源发展战略行动计划（2014-2020年）》</w:t>
      </w:r>
    </w:p>
    <w:p>
      <w:pPr>
        <w:pStyle w:val="128"/>
      </w:pPr>
      <w:r>
        <w:rPr>
          <w:rFonts w:hint="eastAsia"/>
        </w:rPr>
        <w:t>（9）《可再生能源发展“十三五”规划》（征求意见稿）</w:t>
      </w:r>
    </w:p>
    <w:p>
      <w:pPr>
        <w:pStyle w:val="128"/>
      </w:pPr>
      <w:r>
        <w:rPr>
          <w:rFonts w:hint="eastAsia"/>
        </w:rPr>
        <w:t>（10）</w:t>
      </w:r>
      <w:r>
        <w:t>《太阳能利用</w:t>
      </w:r>
      <w:r>
        <w:rPr>
          <w:rFonts w:hint="eastAsia"/>
        </w:rPr>
        <w:t>“</w:t>
      </w:r>
      <w:r>
        <w:t>十三五</w:t>
      </w:r>
      <w:r>
        <w:rPr>
          <w:rFonts w:hint="eastAsia"/>
        </w:rPr>
        <w:t>”</w:t>
      </w:r>
      <w:r>
        <w:t>发展规划》(征求意见稿)</w:t>
      </w:r>
    </w:p>
    <w:p>
      <w:pPr>
        <w:pStyle w:val="128"/>
      </w:pPr>
      <w:r>
        <w:rPr>
          <w:rFonts w:hint="eastAsia"/>
        </w:rPr>
        <w:t>（11）《太阳能发电发展“十三五”规划》（征求意见稿）</w:t>
      </w:r>
    </w:p>
    <w:p>
      <w:pPr>
        <w:pStyle w:val="128"/>
      </w:pPr>
      <w:r>
        <w:rPr>
          <w:rFonts w:hint="eastAsia"/>
        </w:rPr>
        <w:t>（12）《太阳能光伏产业“十三五”发展规划》（征求意见稿）</w:t>
      </w:r>
    </w:p>
    <w:p>
      <w:pPr>
        <w:pStyle w:val="128"/>
      </w:pPr>
      <w:r>
        <w:rPr>
          <w:rFonts w:hint="eastAsia"/>
        </w:rPr>
        <w:t>（13）《储能</w:t>
      </w:r>
      <w:r>
        <w:t>产业研究白皮书（</w:t>
      </w:r>
      <w:r>
        <w:rPr>
          <w:rFonts w:hint="eastAsia"/>
        </w:rPr>
        <w:t>2015</w:t>
      </w:r>
      <w:r>
        <w:t>）</w:t>
      </w:r>
      <w:r>
        <w:rPr>
          <w:rFonts w:hint="eastAsia"/>
        </w:rPr>
        <w:t>》</w:t>
      </w:r>
    </w:p>
    <w:p>
      <w:pPr>
        <w:pStyle w:val="128"/>
      </w:pPr>
      <w:r>
        <w:rPr>
          <w:rFonts w:hint="eastAsia"/>
        </w:rPr>
        <w:t>（14）《中国制造2025》（国发[2015]28号）</w:t>
      </w:r>
    </w:p>
    <w:p>
      <w:pPr>
        <w:pStyle w:val="128"/>
      </w:pPr>
      <w:r>
        <w:rPr>
          <w:rFonts w:hint="eastAsia"/>
        </w:rPr>
        <w:t>（15）《节能与新能源汽车产业发展规划（2012－2020年）》</w:t>
      </w:r>
    </w:p>
    <w:p>
      <w:pPr>
        <w:pStyle w:val="128"/>
      </w:pPr>
      <w:r>
        <w:rPr>
          <w:rFonts w:hint="eastAsia"/>
        </w:rPr>
        <w:t>（16）《关于加快新能源汽车推广应用的指导意见》</w:t>
      </w:r>
    </w:p>
    <w:p>
      <w:pPr>
        <w:pStyle w:val="128"/>
      </w:pPr>
      <w:r>
        <w:rPr>
          <w:rFonts w:hint="eastAsia"/>
        </w:rPr>
        <w:t>（17）《国务院</w:t>
      </w:r>
      <w:r>
        <w:t>关于</w:t>
      </w:r>
      <w:r>
        <w:rPr>
          <w:rFonts w:hint="eastAsia"/>
        </w:rPr>
        <w:t>积极</w:t>
      </w:r>
      <w:r>
        <w:t>推进</w:t>
      </w:r>
      <w:r>
        <w:rPr>
          <w:rFonts w:hint="eastAsia"/>
        </w:rPr>
        <w:t>“互联网</w:t>
      </w:r>
      <w:r>
        <w:t>+</w:t>
      </w:r>
      <w:r>
        <w:rPr>
          <w:rFonts w:hint="eastAsia"/>
        </w:rPr>
        <w:t>”行动</w:t>
      </w:r>
      <w:r>
        <w:t>的指导意见</w:t>
      </w:r>
      <w:r>
        <w:rPr>
          <w:rFonts w:hint="eastAsia"/>
        </w:rPr>
        <w:t>》（国发[2015]40号）</w:t>
      </w:r>
    </w:p>
    <w:p>
      <w:pPr>
        <w:pStyle w:val="128"/>
      </w:pPr>
      <w:r>
        <w:rPr>
          <w:rFonts w:hint="eastAsia"/>
        </w:rPr>
        <w:t>（18）《国务院关于促进光伏产业健康发展的若干意见》（国发[2013]24号）</w:t>
      </w:r>
    </w:p>
    <w:p>
      <w:pPr>
        <w:pStyle w:val="128"/>
      </w:pPr>
      <w:r>
        <w:rPr>
          <w:rFonts w:hint="eastAsia"/>
        </w:rPr>
        <w:t>（19）《关于促进先进光伏技术产品应用和产业升级的意见》（国能新能</w:t>
      </w:r>
      <w:r>
        <w:t>[</w:t>
      </w:r>
      <w:r>
        <w:rPr>
          <w:rFonts w:hint="eastAsia"/>
        </w:rPr>
        <w:t>2015]194号）</w:t>
      </w:r>
    </w:p>
    <w:p>
      <w:pPr>
        <w:pStyle w:val="128"/>
      </w:pPr>
      <w:r>
        <w:rPr>
          <w:rFonts w:hint="eastAsia"/>
        </w:rPr>
        <w:t>（20）《国家能源局关于实行可再生能源发电项目信息化管理的通知》（国能新能</w:t>
      </w:r>
      <w:r>
        <w:t>[</w:t>
      </w:r>
      <w:r>
        <w:rPr>
          <w:rFonts w:hint="eastAsia"/>
        </w:rPr>
        <w:t>2015]358号）</w:t>
      </w:r>
    </w:p>
    <w:p>
      <w:pPr>
        <w:pStyle w:val="128"/>
      </w:pPr>
      <w:r>
        <w:rPr>
          <w:rFonts w:hint="eastAsia"/>
        </w:rPr>
        <w:t>（21）《</w:t>
      </w:r>
      <w:r>
        <w:t>关于支持新产业新业态发展促进大众创业万众创新用地政策的意见》（国土资规[2015]5号）</w:t>
      </w:r>
    </w:p>
    <w:p>
      <w:pPr>
        <w:pStyle w:val="128"/>
      </w:pPr>
      <w:r>
        <w:rPr>
          <w:rFonts w:hint="eastAsia"/>
        </w:rPr>
        <w:t>（22）《国家发展改革委办公厅关于开展可再生能源就近消纳试点的通知》（发改办运行</w:t>
      </w:r>
      <w:r>
        <w:t>[</w:t>
      </w:r>
      <w:r>
        <w:rPr>
          <w:rFonts w:hint="eastAsia"/>
        </w:rPr>
        <w:t>2015]2554号）</w:t>
      </w:r>
    </w:p>
    <w:p>
      <w:pPr>
        <w:pStyle w:val="128"/>
      </w:pPr>
      <w:r>
        <w:rPr>
          <w:rFonts w:hint="eastAsia"/>
        </w:rPr>
        <w:t>（23）《关于做好“三北”地区可再生能源消纳工作的通知》（国能监管[2016]39号）</w:t>
      </w:r>
    </w:p>
    <w:p>
      <w:pPr>
        <w:pStyle w:val="128"/>
      </w:pPr>
      <w:r>
        <w:rPr>
          <w:rFonts w:hint="eastAsia"/>
        </w:rPr>
        <w:t>（24）</w:t>
      </w:r>
      <w:r>
        <w:t>《国家能源局关于建立可再生能源开发利用目标引导制度的指导意见》</w:t>
      </w:r>
      <w:r>
        <w:rPr>
          <w:rFonts w:hint="eastAsia"/>
        </w:rPr>
        <w:t>（</w:t>
      </w:r>
      <w:r>
        <w:t>国能新能[2016</w:t>
      </w:r>
      <w:r>
        <w:rPr>
          <w:rFonts w:hint="eastAsia"/>
        </w:rPr>
        <w:t>]</w:t>
      </w:r>
      <w:r>
        <w:t>54号</w:t>
      </w:r>
      <w:r>
        <w:rPr>
          <w:rFonts w:hint="eastAsia"/>
        </w:rPr>
        <w:t>）</w:t>
      </w:r>
    </w:p>
    <w:p>
      <w:pPr>
        <w:pStyle w:val="128"/>
      </w:pPr>
      <w:bookmarkStart w:id="20" w:name="OLE_LINK17"/>
      <w:r>
        <w:rPr>
          <w:rFonts w:hint="eastAsia"/>
        </w:rPr>
        <w:t>（25）</w:t>
      </w:r>
      <w:r>
        <w:t>《关于进一步深化电力体制改革的若干意见）（中发[2015]9号</w:t>
      </w:r>
      <w:r>
        <w:rPr>
          <w:rFonts w:hint="eastAsia"/>
        </w:rPr>
        <w:t>）</w:t>
      </w:r>
    </w:p>
    <w:p>
      <w:pPr>
        <w:pStyle w:val="128"/>
      </w:pPr>
      <w:r>
        <w:rPr>
          <w:rFonts w:hint="eastAsia"/>
        </w:rPr>
        <w:t>（26）《关于改善电力运行调节促进清洁能源多发满发的指导意见》（发改运行[2015]518号）</w:t>
      </w:r>
    </w:p>
    <w:p>
      <w:pPr>
        <w:pStyle w:val="128"/>
      </w:pPr>
      <w:r>
        <w:rPr>
          <w:rFonts w:hint="eastAsia"/>
        </w:rPr>
        <w:t>（27）《关于印发可再生能源发电全额保障性收购管理办法》（发改能源[2016]625号）</w:t>
      </w:r>
    </w:p>
    <w:p>
      <w:pPr>
        <w:pStyle w:val="128"/>
      </w:pPr>
      <w:r>
        <w:rPr>
          <w:rFonts w:hint="eastAsia"/>
        </w:rPr>
        <w:t>（28）《关于推进电能替代的指导意见》（发改能源[</w:t>
      </w:r>
      <w:r>
        <w:t>201</w:t>
      </w:r>
      <w:r>
        <w:rPr>
          <w:rFonts w:hint="eastAsia"/>
        </w:rPr>
        <w:t>6]1054号）</w:t>
      </w:r>
    </w:p>
    <w:bookmarkEnd w:id="20"/>
    <w:p>
      <w:pPr>
        <w:pStyle w:val="128"/>
      </w:pPr>
      <w:r>
        <w:rPr>
          <w:rFonts w:hint="eastAsia"/>
        </w:rPr>
        <w:t>（29）其他</w:t>
      </w:r>
      <w:r>
        <w:t>国家、自治区、市相关法律法规和标准规范</w:t>
      </w:r>
    </w:p>
    <w:p>
      <w:pPr>
        <w:pStyle w:val="126"/>
      </w:pPr>
      <w:r>
        <w:rPr>
          <w:rFonts w:hint="eastAsia"/>
        </w:rPr>
        <w:t>相关</w:t>
      </w:r>
      <w:r>
        <w:t>规划、政府工作文件</w:t>
      </w:r>
    </w:p>
    <w:p>
      <w:pPr>
        <w:pStyle w:val="128"/>
      </w:pPr>
      <w:r>
        <w:rPr>
          <w:rFonts w:hint="eastAsia"/>
        </w:rPr>
        <w:t>（1）《关中-天水经济区发展规划（2009年-2020年）》</w:t>
      </w:r>
    </w:p>
    <w:p>
      <w:pPr>
        <w:pStyle w:val="128"/>
      </w:pPr>
      <w:r>
        <w:rPr>
          <w:rFonts w:hint="eastAsia"/>
        </w:rPr>
        <w:t>（2）《陕西省城镇体系规划（2006年-2020年）》</w:t>
      </w:r>
    </w:p>
    <w:p>
      <w:pPr>
        <w:pStyle w:val="128"/>
      </w:pPr>
      <w:r>
        <w:rPr>
          <w:rFonts w:hint="eastAsia"/>
        </w:rPr>
        <w:t>（3）</w:t>
      </w:r>
      <w:r>
        <w:t>《晋陕豫黄河金三角承接产业转移示范区规划》</w:t>
      </w:r>
    </w:p>
    <w:p>
      <w:pPr>
        <w:pStyle w:val="128"/>
      </w:pPr>
      <w:r>
        <w:rPr>
          <w:rFonts w:hint="eastAsia"/>
        </w:rPr>
        <w:t>（4）《晋陕豫黄河金三角区域合作规划（2014年</w:t>
      </w:r>
      <w:r>
        <w:t>-2025</w:t>
      </w:r>
      <w:r>
        <w:rPr>
          <w:rFonts w:hint="eastAsia"/>
        </w:rPr>
        <w:t>年）》</w:t>
      </w:r>
    </w:p>
    <w:p>
      <w:pPr>
        <w:pStyle w:val="128"/>
      </w:pPr>
      <w:r>
        <w:rPr>
          <w:rFonts w:hint="eastAsia"/>
        </w:rPr>
        <w:t>（5）</w:t>
      </w:r>
      <w:r>
        <w:t>《大西安空间发展战略规划（2010</w:t>
      </w:r>
      <w:r>
        <w:rPr>
          <w:rFonts w:hint="eastAsia"/>
        </w:rPr>
        <w:t>年</w:t>
      </w:r>
      <w:r>
        <w:t>-2020</w:t>
      </w:r>
      <w:r>
        <w:rPr>
          <w:rFonts w:hint="eastAsia"/>
        </w:rPr>
        <w:t>年</w:t>
      </w:r>
      <w:r>
        <w:t>）》</w:t>
      </w:r>
    </w:p>
    <w:p>
      <w:pPr>
        <w:pStyle w:val="128"/>
      </w:pPr>
      <w:r>
        <w:rPr>
          <w:rFonts w:hint="eastAsia"/>
        </w:rPr>
        <w:t>（6）《关中城市群建设规划（2007年-2020年）》</w:t>
      </w:r>
    </w:p>
    <w:p>
      <w:pPr>
        <w:pStyle w:val="128"/>
      </w:pPr>
      <w:r>
        <w:rPr>
          <w:rFonts w:hint="eastAsia"/>
        </w:rPr>
        <w:t>（7）《陕西省增材制造产业发展规划（2016年-2020年）》</w:t>
      </w:r>
    </w:p>
    <w:p>
      <w:pPr>
        <w:pStyle w:val="128"/>
      </w:pPr>
      <w:r>
        <w:rPr>
          <w:rFonts w:hint="eastAsia"/>
        </w:rPr>
        <w:t>（8）《渭南市城市总体规划（2010年-2020年）》</w:t>
      </w:r>
    </w:p>
    <w:p>
      <w:pPr>
        <w:pStyle w:val="128"/>
      </w:pPr>
      <w:r>
        <w:rPr>
          <w:rFonts w:hint="eastAsia"/>
        </w:rPr>
        <w:t>（9）《渭南市十三五规划纲要》</w:t>
      </w:r>
    </w:p>
    <w:p>
      <w:pPr>
        <w:pStyle w:val="128"/>
      </w:pPr>
      <w:r>
        <w:rPr>
          <w:rFonts w:hint="eastAsia"/>
        </w:rPr>
        <w:t>（1</w:t>
      </w:r>
      <w:r>
        <w:t>0</w:t>
      </w:r>
      <w:r>
        <w:rPr>
          <w:rFonts w:hint="eastAsia"/>
        </w:rPr>
        <w:t>）《渭南新能源汽车产业园区发展规划（2016年</w:t>
      </w:r>
      <w:r>
        <w:t>-2025</w:t>
      </w:r>
      <w:r>
        <w:rPr>
          <w:rFonts w:hint="eastAsia"/>
        </w:rPr>
        <w:t>年）》</w:t>
      </w:r>
    </w:p>
    <w:p>
      <w:pPr>
        <w:pStyle w:val="128"/>
      </w:pPr>
      <w:r>
        <w:rPr>
          <w:rFonts w:hint="eastAsia"/>
        </w:rPr>
        <w:t>（1</w:t>
      </w:r>
      <w:r>
        <w:t>1</w:t>
      </w:r>
      <w:r>
        <w:rPr>
          <w:rFonts w:hint="eastAsia"/>
        </w:rPr>
        <w:t>）《华县</w:t>
      </w:r>
      <w:r>
        <w:t>工业园区总体规划</w:t>
      </w:r>
      <w:r>
        <w:rPr>
          <w:rFonts w:hint="eastAsia"/>
        </w:rPr>
        <w:t>》</w:t>
      </w:r>
    </w:p>
    <w:p>
      <w:pPr>
        <w:pStyle w:val="128"/>
      </w:pPr>
      <w:r>
        <w:rPr>
          <w:rFonts w:hint="eastAsia"/>
        </w:rPr>
        <w:t>（12）《陕西省渭南市区地热资源评价报告》</w:t>
      </w:r>
    </w:p>
    <w:p>
      <w:pPr>
        <w:pStyle w:val="128"/>
      </w:pPr>
      <w:r>
        <w:rPr>
          <w:rFonts w:hint="eastAsia"/>
        </w:rPr>
        <w:t>（13）《陕西省人民政府关于贯彻落实国务院节能与新能源汽车产业发展规划的实施意见》</w:t>
      </w:r>
    </w:p>
    <w:p>
      <w:pPr>
        <w:pStyle w:val="128"/>
      </w:pPr>
      <w:r>
        <w:rPr>
          <w:rFonts w:hint="eastAsia"/>
        </w:rPr>
        <w:t>（14）中共</w:t>
      </w:r>
      <w:r>
        <w:t>渭南市委渭南市人民政府</w:t>
      </w:r>
      <w:r>
        <w:rPr>
          <w:rFonts w:hint="eastAsia"/>
        </w:rPr>
        <w:t>《关于加快全市工业经济转型发展的意见》（渭市字[</w:t>
      </w:r>
      <w:r>
        <w:t>2016</w:t>
      </w:r>
      <w:r>
        <w:rPr>
          <w:rFonts w:hint="eastAsia"/>
        </w:rPr>
        <w:t>]</w:t>
      </w:r>
      <w:r>
        <w:t>49</w:t>
      </w:r>
      <w:r>
        <w:rPr>
          <w:rFonts w:hint="eastAsia"/>
        </w:rPr>
        <w:t>号）2016年7月4日</w:t>
      </w:r>
    </w:p>
    <w:p>
      <w:pPr>
        <w:pStyle w:val="128"/>
      </w:pPr>
      <w:r>
        <w:rPr>
          <w:rFonts w:hint="eastAsia"/>
        </w:rPr>
        <w:t>（15）《陕西</w:t>
      </w:r>
      <w:r>
        <w:t>能源发展报告</w:t>
      </w:r>
      <w:r>
        <w:rPr>
          <w:rFonts w:hint="eastAsia"/>
        </w:rPr>
        <w:t>2016》（陕西省</w:t>
      </w:r>
      <w:r>
        <w:t>发展和改革委员会</w:t>
      </w:r>
      <w:r>
        <w:rPr>
          <w:rFonts w:hint="eastAsia"/>
        </w:rPr>
        <w:t>）</w:t>
      </w:r>
    </w:p>
    <w:p>
      <w:pPr>
        <w:pStyle w:val="128"/>
      </w:pPr>
      <w:r>
        <w:rPr>
          <w:rFonts w:hint="eastAsia"/>
        </w:rPr>
        <w:t>（16）2015年渭南市国民经济和社会发展统计公报</w:t>
      </w:r>
    </w:p>
    <w:p>
      <w:pPr>
        <w:pStyle w:val="128"/>
      </w:pPr>
      <w:r>
        <w:rPr>
          <w:rFonts w:hint="eastAsia"/>
        </w:rPr>
        <w:t>（17）2016年重点项目计划新建3.14印发稿</w:t>
      </w:r>
    </w:p>
    <w:p>
      <w:pPr>
        <w:pStyle w:val="125"/>
      </w:pPr>
      <w:bookmarkStart w:id="21" w:name="_Toc7702"/>
      <w:r>
        <w:rPr>
          <w:rFonts w:hint="eastAsia"/>
        </w:rPr>
        <w:t>规划范围</w:t>
      </w:r>
      <w:r>
        <w:t>、</w:t>
      </w:r>
      <w:r>
        <w:rPr>
          <w:rFonts w:hint="eastAsia"/>
        </w:rPr>
        <w:t>时限和内容</w:t>
      </w:r>
      <w:bookmarkEnd w:id="21"/>
    </w:p>
    <w:p>
      <w:pPr>
        <w:pStyle w:val="128"/>
      </w:pPr>
      <w:r>
        <w:rPr>
          <w:rFonts w:hint="eastAsia"/>
        </w:rPr>
        <w:t>规划范围：渭南市行政区划范围</w:t>
      </w:r>
    </w:p>
    <w:p>
      <w:pPr>
        <w:pStyle w:val="128"/>
      </w:pPr>
      <w:r>
        <w:rPr>
          <w:rFonts w:hint="eastAsia"/>
        </w:rPr>
        <w:t>规划时限：规划基准年为2015年，规划时限</w:t>
      </w:r>
      <w:r>
        <w:t>为</w:t>
      </w:r>
      <w:r>
        <w:rPr>
          <w:rFonts w:hint="eastAsia"/>
        </w:rPr>
        <w:t>2016-2020年。</w:t>
      </w:r>
    </w:p>
    <w:p>
      <w:pPr>
        <w:pStyle w:val="128"/>
      </w:pPr>
      <w:r>
        <w:rPr>
          <w:rFonts w:hint="eastAsia"/>
        </w:rPr>
        <w:t>规划</w:t>
      </w:r>
      <w:r>
        <w:t>内容：</w:t>
      </w:r>
      <w:r>
        <w:rPr>
          <w:rFonts w:hint="eastAsia"/>
        </w:rPr>
        <w:t>本规划</w:t>
      </w:r>
      <w:r>
        <w:t>共包括</w:t>
      </w:r>
      <w:r>
        <w:rPr>
          <w:rFonts w:hint="eastAsia"/>
        </w:rPr>
        <w:t>三个部分</w:t>
      </w:r>
      <w:r>
        <w:t>的主体产业规划，</w:t>
      </w:r>
      <w:r>
        <w:rPr>
          <w:rFonts w:hint="eastAsia"/>
        </w:rPr>
        <w:t>新能源</w:t>
      </w:r>
      <w:r>
        <w:t>、新材料和新能源汽车</w:t>
      </w:r>
      <w:r>
        <w:rPr>
          <w:rFonts w:hint="eastAsia"/>
        </w:rPr>
        <w:t>。在</w:t>
      </w:r>
      <w:r>
        <w:t>梳理渭南市产业发展现状</w:t>
      </w:r>
      <w:r>
        <w:rPr>
          <w:rFonts w:hint="eastAsia"/>
        </w:rPr>
        <w:t>、</w:t>
      </w:r>
      <w:r>
        <w:t>研究相关产业发展趋势的基础上，</w:t>
      </w:r>
      <w:r>
        <w:rPr>
          <w:rFonts w:hint="eastAsia"/>
        </w:rPr>
        <w:t>明确</w:t>
      </w:r>
      <w:r>
        <w:t>产业发展思路和发展方向，</w:t>
      </w:r>
      <w:r>
        <w:rPr>
          <w:rFonts w:hint="eastAsia"/>
        </w:rPr>
        <w:t>谋划</w:t>
      </w:r>
      <w:r>
        <w:t>渭南市的产业发展定位</w:t>
      </w:r>
      <w:r>
        <w:rPr>
          <w:rFonts w:hint="eastAsia"/>
        </w:rPr>
        <w:t>、</w:t>
      </w:r>
      <w:r>
        <w:t>重点发展技术</w:t>
      </w:r>
      <w:r>
        <w:rPr>
          <w:rFonts w:hint="eastAsia"/>
        </w:rPr>
        <w:t>和重大</w:t>
      </w:r>
      <w:r>
        <w:t>产业项目，</w:t>
      </w:r>
      <w:r>
        <w:rPr>
          <w:rFonts w:hint="eastAsia"/>
        </w:rPr>
        <w:t>提出产业</w:t>
      </w:r>
      <w:r>
        <w:t>发展保障措施。</w:t>
      </w:r>
    </w:p>
    <w:p>
      <w:pPr>
        <w:pStyle w:val="128"/>
        <w:sectPr>
          <w:footerReference r:id="rId7" w:type="default"/>
          <w:footerReference r:id="rId8" w:type="even"/>
          <w:pgSz w:w="11906" w:h="16838"/>
          <w:pgMar w:top="1440" w:right="1588" w:bottom="1440" w:left="1588" w:header="851" w:footer="992" w:gutter="0"/>
          <w:pgNumType w:fmt="decimal" w:start="1"/>
          <w:cols w:space="720" w:num="1"/>
          <w:docGrid w:linePitch="312" w:charSpace="0"/>
        </w:sectPr>
      </w:pPr>
    </w:p>
    <w:p>
      <w:pPr>
        <w:pStyle w:val="123"/>
        <w:rPr>
          <w:color w:val="auto"/>
        </w:rPr>
      </w:pPr>
      <w:bookmarkStart w:id="22" w:name="_Toc27548"/>
      <w:r>
        <w:rPr>
          <w:rFonts w:hint="eastAsia"/>
          <w:color w:val="auto"/>
        </w:rPr>
        <w:t>产业发展基础</w:t>
      </w:r>
      <w:bookmarkEnd w:id="22"/>
    </w:p>
    <w:p>
      <w:pPr>
        <w:pStyle w:val="125"/>
      </w:pPr>
      <w:bookmarkStart w:id="23" w:name="_Toc21990"/>
      <w:r>
        <w:rPr>
          <w:rFonts w:hint="eastAsia"/>
        </w:rPr>
        <w:t>区域经济</w:t>
      </w:r>
      <w:bookmarkEnd w:id="23"/>
    </w:p>
    <w:p>
      <w:pPr>
        <w:pStyle w:val="128"/>
      </w:pPr>
      <w:r>
        <w:t>2015</w:t>
      </w:r>
      <w:r>
        <w:rPr>
          <w:rFonts w:hint="eastAsia"/>
        </w:rPr>
        <w:t>年渭南市全市实现生产总值</w:t>
      </w:r>
      <w:r>
        <w:t>1469.08</w:t>
      </w:r>
      <w:r>
        <w:rPr>
          <w:rFonts w:hint="eastAsia"/>
        </w:rPr>
        <w:t>亿元，可比价增长</w:t>
      </w:r>
      <w:r>
        <w:t>8.7%</w:t>
      </w:r>
      <w:r>
        <w:rPr>
          <w:rFonts w:hint="eastAsia"/>
        </w:rPr>
        <w:t>。其中，第一产业增加值</w:t>
      </w:r>
      <w:r>
        <w:t>213.92</w:t>
      </w:r>
      <w:r>
        <w:rPr>
          <w:rFonts w:hint="eastAsia"/>
        </w:rPr>
        <w:t>亿元，增长</w:t>
      </w:r>
      <w:r>
        <w:t>5.5%</w:t>
      </w:r>
      <w:r>
        <w:rPr>
          <w:rFonts w:hint="eastAsia"/>
        </w:rPr>
        <w:t>；第二产业增加值</w:t>
      </w:r>
      <w:r>
        <w:t>737.22</w:t>
      </w:r>
      <w:r>
        <w:rPr>
          <w:rFonts w:hint="eastAsia"/>
        </w:rPr>
        <w:t>亿元，增长</w:t>
      </w:r>
      <w:r>
        <w:t>9.0%</w:t>
      </w:r>
      <w:r>
        <w:rPr>
          <w:rFonts w:hint="eastAsia"/>
        </w:rPr>
        <w:t>，第三产业增加值</w:t>
      </w:r>
      <w:r>
        <w:t>517.94</w:t>
      </w:r>
      <w:r>
        <w:rPr>
          <w:rFonts w:hint="eastAsia"/>
        </w:rPr>
        <w:t>亿元，增长</w:t>
      </w:r>
      <w:r>
        <w:t>9.4%</w:t>
      </w:r>
      <w:r>
        <w:rPr>
          <w:rFonts w:hint="eastAsia"/>
        </w:rPr>
        <w:t>。人均生产总值</w:t>
      </w:r>
      <w:r>
        <w:t>27452</w:t>
      </w:r>
      <w:r>
        <w:rPr>
          <w:rFonts w:hint="eastAsia"/>
        </w:rPr>
        <w:t>元，比上年增长</w:t>
      </w:r>
      <w:r>
        <w:t>8.4%</w:t>
      </w:r>
      <w:r>
        <w:rPr>
          <w:rFonts w:hint="eastAsia"/>
        </w:rPr>
        <w:t>。</w:t>
      </w:r>
      <w:r>
        <w:t>2015</w:t>
      </w:r>
      <w:r>
        <w:rPr>
          <w:rFonts w:hint="eastAsia"/>
        </w:rPr>
        <w:t>年非公有制经济增加值</w:t>
      </w:r>
      <w:r>
        <w:t>713.79</w:t>
      </w:r>
      <w:r>
        <w:rPr>
          <w:rFonts w:hint="eastAsia"/>
        </w:rPr>
        <w:t>亿元，占生产总值的</w:t>
      </w:r>
      <w:r>
        <w:t>48.6%</w:t>
      </w:r>
      <w:r>
        <w:rPr>
          <w:rFonts w:hint="eastAsia"/>
        </w:rPr>
        <w:t>，比上年提升</w:t>
      </w:r>
      <w:r>
        <w:t>1.1</w:t>
      </w:r>
      <w:r>
        <w:rPr>
          <w:rFonts w:hint="eastAsia"/>
        </w:rPr>
        <w:t>个百分点。</w:t>
      </w:r>
      <w:r>
        <w:t>2015</w:t>
      </w:r>
      <w:r>
        <w:rPr>
          <w:rFonts w:hint="eastAsia"/>
        </w:rPr>
        <w:t>年全社会固定资产投资完成</w:t>
      </w:r>
      <w:r>
        <w:t>2085.21</w:t>
      </w:r>
      <w:r>
        <w:rPr>
          <w:rFonts w:hint="eastAsia"/>
        </w:rPr>
        <w:t>亿元，比上年增长</w:t>
      </w:r>
      <w:r>
        <w:t>18.1%</w:t>
      </w:r>
      <w:r>
        <w:rPr>
          <w:rFonts w:hint="eastAsia"/>
        </w:rPr>
        <w:t>。</w:t>
      </w:r>
    </w:p>
    <w:p>
      <w:pPr>
        <w:pStyle w:val="128"/>
      </w:pPr>
      <w:r>
        <w:t>2015</w:t>
      </w:r>
      <w:r>
        <w:rPr>
          <w:rFonts w:hint="eastAsia"/>
        </w:rPr>
        <w:t>年粮食播种面积</w:t>
      </w:r>
      <w:r>
        <w:t>766.16</w:t>
      </w:r>
      <w:r>
        <w:rPr>
          <w:rFonts w:hint="eastAsia"/>
        </w:rPr>
        <w:t>万亩，比上年下降</w:t>
      </w:r>
      <w:r>
        <w:t>0.4%</w:t>
      </w:r>
      <w:r>
        <w:rPr>
          <w:rFonts w:hint="eastAsia"/>
        </w:rPr>
        <w:t>。</w:t>
      </w:r>
      <w:r>
        <w:t>2015</w:t>
      </w:r>
      <w:r>
        <w:rPr>
          <w:rFonts w:hint="eastAsia"/>
        </w:rPr>
        <w:t>年实现工业增加值</w:t>
      </w:r>
      <w:r>
        <w:t>627.15</w:t>
      </w:r>
      <w:r>
        <w:rPr>
          <w:rFonts w:hint="eastAsia"/>
        </w:rPr>
        <w:t>亿元，比上年增长</w:t>
      </w:r>
      <w:r>
        <w:t>8.5%</w:t>
      </w:r>
      <w:r>
        <w:rPr>
          <w:rFonts w:hint="eastAsia"/>
        </w:rPr>
        <w:t>，其中规模以上工业企业完成增加值</w:t>
      </w:r>
      <w:r>
        <w:t>610.5</w:t>
      </w:r>
      <w:r>
        <w:rPr>
          <w:rFonts w:hint="eastAsia"/>
        </w:rPr>
        <w:t>亿元，增长</w:t>
      </w:r>
      <w:r>
        <w:t>8.8%</w:t>
      </w:r>
      <w:r>
        <w:rPr>
          <w:rFonts w:hint="eastAsia"/>
        </w:rPr>
        <w:t>。</w:t>
      </w:r>
      <w:r>
        <w:t>2015</w:t>
      </w:r>
      <w:r>
        <w:rPr>
          <w:rFonts w:hint="eastAsia"/>
        </w:rPr>
        <w:t>年规模以上工业完成总产值</w:t>
      </w:r>
      <w:r>
        <w:t>1975.94</w:t>
      </w:r>
      <w:r>
        <w:rPr>
          <w:rFonts w:hint="eastAsia"/>
        </w:rPr>
        <w:t>亿元，比上年增长</w:t>
      </w:r>
      <w:r>
        <w:t>4.3%</w:t>
      </w:r>
      <w:r>
        <w:rPr>
          <w:rFonts w:hint="eastAsia"/>
        </w:rPr>
        <w:t>。其中，重工业</w:t>
      </w:r>
      <w:r>
        <w:t>1716.22</w:t>
      </w:r>
      <w:r>
        <w:rPr>
          <w:rFonts w:hint="eastAsia"/>
        </w:rPr>
        <w:t>亿元，增长</w:t>
      </w:r>
      <w:r>
        <w:t>4.3%</w:t>
      </w:r>
      <w:r>
        <w:rPr>
          <w:rFonts w:hint="eastAsia"/>
        </w:rPr>
        <w:t>；轻工业</w:t>
      </w:r>
      <w:r>
        <w:t>259.72</w:t>
      </w:r>
      <w:r>
        <w:rPr>
          <w:rFonts w:hint="eastAsia"/>
        </w:rPr>
        <w:t>亿元，增长</w:t>
      </w:r>
      <w:r>
        <w:t>4%</w:t>
      </w:r>
      <w:r>
        <w:rPr>
          <w:rFonts w:hint="eastAsia"/>
        </w:rPr>
        <w:t>。八大支柱产业完成工业总产值</w:t>
      </w:r>
      <w:r>
        <w:t>1931.54</w:t>
      </w:r>
      <w:r>
        <w:rPr>
          <w:rFonts w:hint="eastAsia"/>
        </w:rPr>
        <w:t>亿元，增长</w:t>
      </w:r>
      <w:r>
        <w:t>4.0%</w:t>
      </w:r>
      <w:r>
        <w:rPr>
          <w:rFonts w:hint="eastAsia"/>
        </w:rPr>
        <w:t>。其中，能源工业</w:t>
      </w:r>
      <w:r>
        <w:t>572.12</w:t>
      </w:r>
      <w:r>
        <w:rPr>
          <w:rFonts w:hint="eastAsia"/>
        </w:rPr>
        <w:t>亿元，下降</w:t>
      </w:r>
      <w:r>
        <w:t>3.8%</w:t>
      </w:r>
      <w:r>
        <w:rPr>
          <w:rFonts w:hint="eastAsia"/>
        </w:rPr>
        <w:t>，化工工业</w:t>
      </w:r>
      <w:r>
        <w:t>186.71</w:t>
      </w:r>
      <w:r>
        <w:rPr>
          <w:rFonts w:hint="eastAsia"/>
        </w:rPr>
        <w:t>亿元，增长</w:t>
      </w:r>
      <w:r>
        <w:t>24.4%</w:t>
      </w:r>
      <w:r>
        <w:rPr>
          <w:rFonts w:hint="eastAsia"/>
        </w:rPr>
        <w:t>；装备制造业</w:t>
      </w:r>
      <w:r>
        <w:t>125.59</w:t>
      </w:r>
      <w:r>
        <w:rPr>
          <w:rFonts w:hint="eastAsia"/>
        </w:rPr>
        <w:t>亿元，增长</w:t>
      </w:r>
      <w:r>
        <w:t>11.6%</w:t>
      </w:r>
      <w:r>
        <w:rPr>
          <w:rFonts w:hint="eastAsia"/>
        </w:rPr>
        <w:t>；有色冶金工业</w:t>
      </w:r>
      <w:r>
        <w:t>713.81</w:t>
      </w:r>
      <w:r>
        <w:rPr>
          <w:rFonts w:hint="eastAsia"/>
        </w:rPr>
        <w:t>亿元，增长</w:t>
      </w:r>
      <w:r>
        <w:t>5.6%</w:t>
      </w:r>
      <w:r>
        <w:rPr>
          <w:rFonts w:hint="eastAsia"/>
        </w:rPr>
        <w:t>；食品工业</w:t>
      </w:r>
      <w:r>
        <w:t>197.07</w:t>
      </w:r>
      <w:r>
        <w:rPr>
          <w:rFonts w:hint="eastAsia"/>
        </w:rPr>
        <w:t>亿元，增长</w:t>
      </w:r>
      <w:r>
        <w:t>1.6%</w:t>
      </w:r>
      <w:r>
        <w:rPr>
          <w:rFonts w:hint="eastAsia"/>
        </w:rPr>
        <w:t>；非金属矿物制品业</w:t>
      </w:r>
      <w:r>
        <w:t>116.05</w:t>
      </w:r>
      <w:r>
        <w:rPr>
          <w:rFonts w:hint="eastAsia"/>
        </w:rPr>
        <w:t>亿元，增长</w:t>
      </w:r>
      <w:r>
        <w:t>3.6%</w:t>
      </w:r>
      <w:r>
        <w:rPr>
          <w:rFonts w:hint="eastAsia"/>
        </w:rPr>
        <w:t>；医药制造业</w:t>
      </w:r>
      <w:r>
        <w:t>8.68</w:t>
      </w:r>
      <w:r>
        <w:rPr>
          <w:rFonts w:hint="eastAsia"/>
        </w:rPr>
        <w:t>亿元，增长</w:t>
      </w:r>
      <w:r>
        <w:t>49.0%</w:t>
      </w:r>
      <w:r>
        <w:rPr>
          <w:rFonts w:hint="eastAsia"/>
        </w:rPr>
        <w:t>；纺织服装工业</w:t>
      </w:r>
      <w:r>
        <w:t>11.52</w:t>
      </w:r>
      <w:r>
        <w:rPr>
          <w:rFonts w:hint="eastAsia"/>
        </w:rPr>
        <w:t>亿元，下降</w:t>
      </w:r>
      <w:r>
        <w:t>4.7%</w:t>
      </w:r>
      <w:r>
        <w:rPr>
          <w:rFonts w:hint="eastAsia"/>
        </w:rPr>
        <w:t>。</w:t>
      </w:r>
      <w:r>
        <w:t>2015</w:t>
      </w:r>
      <w:r>
        <w:rPr>
          <w:rFonts w:hint="eastAsia"/>
        </w:rPr>
        <w:t>年建筑业实现增加值</w:t>
      </w:r>
      <w:r>
        <w:t>110.07</w:t>
      </w:r>
      <w:r>
        <w:rPr>
          <w:rFonts w:hint="eastAsia"/>
        </w:rPr>
        <w:t>亿元，同比增长</w:t>
      </w:r>
      <w:r>
        <w:t>11%</w:t>
      </w:r>
      <w:r>
        <w:rPr>
          <w:rFonts w:hint="eastAsia"/>
        </w:rPr>
        <w:t>。资质以上建筑业完成总产值</w:t>
      </w:r>
      <w:r>
        <w:t>258.3</w:t>
      </w:r>
      <w:r>
        <w:rPr>
          <w:rFonts w:hint="eastAsia"/>
        </w:rPr>
        <w:t>亿元，同比增长</w:t>
      </w:r>
      <w:r>
        <w:t>8%</w:t>
      </w:r>
      <w:r>
        <w:rPr>
          <w:rFonts w:hint="eastAsia"/>
        </w:rPr>
        <w:t>，其中国有及国有控股企业总产值</w:t>
      </w:r>
      <w:r>
        <w:t>165.08</w:t>
      </w:r>
      <w:r>
        <w:rPr>
          <w:rFonts w:hint="eastAsia"/>
        </w:rPr>
        <w:t>亿元，同比增长</w:t>
      </w:r>
      <w:r>
        <w:t>9.91%</w:t>
      </w:r>
      <w:r>
        <w:rPr>
          <w:rFonts w:hint="eastAsia"/>
        </w:rPr>
        <w:t>。资质以上建筑企业共签订合同额</w:t>
      </w:r>
      <w:r>
        <w:t>501.74</w:t>
      </w:r>
      <w:r>
        <w:rPr>
          <w:rFonts w:hint="eastAsia"/>
        </w:rPr>
        <w:t>亿元，同比增长</w:t>
      </w:r>
      <w:r>
        <w:t>16.08 %</w:t>
      </w:r>
      <w:r>
        <w:rPr>
          <w:rFonts w:hint="eastAsia"/>
        </w:rPr>
        <w:t>。房屋建筑施工面积</w:t>
      </w:r>
      <w:r>
        <w:t>1612</w:t>
      </w:r>
      <w:r>
        <w:rPr>
          <w:rFonts w:hint="eastAsia"/>
        </w:rPr>
        <w:t>万平方米，同比增长</w:t>
      </w:r>
      <w:r>
        <w:t>16.1%</w:t>
      </w:r>
      <w:r>
        <w:rPr>
          <w:rFonts w:hint="eastAsia"/>
        </w:rPr>
        <w:t>。</w:t>
      </w:r>
    </w:p>
    <w:p>
      <w:pPr>
        <w:pStyle w:val="125"/>
      </w:pPr>
      <w:bookmarkStart w:id="24" w:name="_Toc7017"/>
      <w:r>
        <w:rPr>
          <w:rFonts w:hint="eastAsia"/>
        </w:rPr>
        <w:t>区位优势</w:t>
      </w:r>
      <w:bookmarkEnd w:id="24"/>
    </w:p>
    <w:p>
      <w:pPr>
        <w:pStyle w:val="128"/>
      </w:pPr>
      <w:r>
        <w:rPr>
          <w:rFonts w:hint="eastAsia"/>
        </w:rPr>
        <w:t>渭南地处祖国版图几何中心，“北京时间”从这里的国家授时中心发出。渭南东襟黄河与山西运城、河南三门峡毗邻，西与西安、咸阳相接，南倚秦岭与商洛为界，北靠桥山与延安、铜川接壤。是西安咸阳都市圈的东大门，是中东部地区进入西北门户的交通要道，区位</w:t>
      </w:r>
      <w:r>
        <w:t>优势明显。</w:t>
      </w:r>
    </w:p>
    <w:p>
      <w:pPr>
        <w:pStyle w:val="126"/>
      </w:pPr>
      <w:r>
        <w:rPr>
          <w:rFonts w:hint="eastAsia"/>
        </w:rPr>
        <w:t>交通区位</w:t>
      </w:r>
    </w:p>
    <w:p>
      <w:pPr>
        <w:pStyle w:val="128"/>
      </w:pPr>
      <w:r>
        <w:rPr>
          <w:rFonts w:hint="eastAsia"/>
        </w:rPr>
        <w:t>渭南市在周、秦、汉、唐属京畿之地，是古代长安的东大门，交通发达，素有“三秦要道，八省通衢”之称，是沿海、华北与西北、西南互通的重要交通要道。在全国经济布局中处于南北向的中部能源带与东西向的“陇海－兰新”经济线的交汇点上，交通区位优势明显。</w:t>
      </w:r>
    </w:p>
    <w:p>
      <w:pPr>
        <w:pStyle w:val="128"/>
      </w:pPr>
      <w:r>
        <w:rPr>
          <w:rFonts w:hint="eastAsia"/>
        </w:rPr>
        <w:t>渭南市交通条件优越，紧靠全国六大客运枢纽中心之一“西北交通枢纽西安”。目前，渭南市已初步形成以铁路、公路为主的综合交通运输体系。具体来讲，全市已形成四通八达的公路网体系，有两条国道主干线（GZ40、GZ45）、三条国道（G310、G108和G210）和六条省道（S106、S107、S201、</w:t>
      </w:r>
      <w:r>
        <w:t>S202</w:t>
      </w:r>
      <w:r>
        <w:rPr>
          <w:rFonts w:hint="eastAsia"/>
        </w:rPr>
        <w:t>、</w:t>
      </w:r>
      <w:r>
        <w:t>S304</w:t>
      </w:r>
      <w:r>
        <w:rPr>
          <w:rFonts w:hint="eastAsia"/>
        </w:rPr>
        <w:t>、</w:t>
      </w:r>
      <w:r>
        <w:t>S305</w:t>
      </w:r>
      <w:r>
        <w:rPr>
          <w:rFonts w:hint="eastAsia"/>
        </w:rPr>
        <w:t>）。铁路上，全市有陇海、咸铜、西延、西候、南同蒲线以及西南铁路，这六条铁路线分别是陕西省“六横两纵”铁路网骨架中的“三横一纵”，在全省乃至全国的铁路运输中占有重要地位，铁路网密度达到240m/km</w:t>
      </w:r>
      <w:r>
        <w:rPr>
          <w:vertAlign w:val="superscript"/>
        </w:rPr>
        <w:t>2</w:t>
      </w:r>
      <w:r>
        <w:rPr>
          <w:rFonts w:hint="eastAsia"/>
        </w:rPr>
        <w:t>，是铁路运输相对发达的地区。航空上，西距西安咸阳国际机场105km，通过西潼高速公路形成便捷联系通道，伴随未来西安第二机场的建设，渭南市对外航空联系便捷度将大大提高。</w:t>
      </w:r>
    </w:p>
    <w:p>
      <w:pPr>
        <w:pStyle w:val="126"/>
      </w:pPr>
      <w:r>
        <w:rPr>
          <w:rFonts w:hint="eastAsia"/>
        </w:rPr>
        <w:t>经济区位</w:t>
      </w:r>
    </w:p>
    <w:p>
      <w:pPr>
        <w:pStyle w:val="128"/>
      </w:pPr>
      <w:r>
        <w:rPr>
          <w:rFonts w:hint="eastAsia"/>
        </w:rPr>
        <w:t>（1）“一带一路”丝绸之路</w:t>
      </w:r>
      <w:r>
        <w:t>经济带</w:t>
      </w:r>
    </w:p>
    <w:p>
      <w:pPr>
        <w:pStyle w:val="128"/>
      </w:pPr>
      <w:r>
        <w:rPr>
          <w:rFonts w:hint="eastAsia"/>
        </w:rPr>
        <w:t>千年之前的长安城西市中，各国商旅辐辏，长安成为当时世界上著名的国际化大都市，陕西也身处中国对外开放的最前沿。千年之后，进入21世纪，西部大开发与“一带一路”的号角声又接踵而来，“一带一路”战略让古丝绸之路重新成为连接欧亚大陆商贸往来的强劲纽带。“一带一路”建设进程加快，我国将形成陆海内外联动、东西双向开放的全面开放新格局，陕西的区位劣势得到根本改变，从内陆腹地跃升为向西开放的前沿，从国家“大后方”跃升为东西双向开放的重要承接地。</w:t>
      </w:r>
    </w:p>
    <w:p>
      <w:pPr>
        <w:pStyle w:val="129"/>
      </w:pPr>
      <w:r>
        <w:drawing>
          <wp:inline distT="0" distB="0" distL="0" distR="0">
            <wp:extent cx="5039995" cy="3025140"/>
            <wp:effectExtent l="0" t="0" r="8255" b="3810"/>
            <wp:docPr id="8" name="图片 8" descr="E:\20160802 渭南市新能源新材料产业规划\04 作图\丝绸之路经济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E:\20160802 渭南市新能源新材料产业规划\04 作图\丝绸之路经济带.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040000" cy="3025567"/>
                    </a:xfrm>
                    <a:prstGeom prst="rect">
                      <a:avLst/>
                    </a:prstGeom>
                    <a:noFill/>
                    <a:ln>
                      <a:noFill/>
                    </a:ln>
                  </pic:spPr>
                </pic:pic>
              </a:graphicData>
            </a:graphic>
          </wp:inline>
        </w:drawing>
      </w:r>
    </w:p>
    <w:p>
      <w:pPr>
        <w:pStyle w:val="137"/>
        <w:numPr>
          <w:ilvl w:val="0"/>
          <w:numId w:val="7"/>
        </w:numPr>
      </w:pPr>
      <w:r>
        <w:rPr>
          <w:rFonts w:hint="eastAsia"/>
        </w:rPr>
        <w:t>渭南在“</w:t>
      </w:r>
      <w:r>
        <w:t>一带一路</w:t>
      </w:r>
      <w:r>
        <w:rPr>
          <w:rFonts w:hint="eastAsia"/>
        </w:rPr>
        <w:t>”丝绸之路</w:t>
      </w:r>
      <w:r>
        <w:t>经济带的位置</w:t>
      </w:r>
    </w:p>
    <w:p>
      <w:pPr>
        <w:pStyle w:val="128"/>
      </w:pPr>
      <w:r>
        <w:rPr>
          <w:rFonts w:hint="eastAsia"/>
        </w:rPr>
        <w:t>“丝绸之路</w:t>
      </w:r>
      <w:r>
        <w:t>三千里，华夏文明</w:t>
      </w:r>
      <w:r>
        <w:rPr>
          <w:rFonts w:hint="eastAsia"/>
        </w:rPr>
        <w:t>五千年”，</w:t>
      </w:r>
      <w:r>
        <w:t>作为中华文明重要发祥地的渭南，始终与丝绸之路息息相连。</w:t>
      </w:r>
      <w:r>
        <w:rPr>
          <w:rFonts w:hint="eastAsia"/>
        </w:rPr>
        <w:t>渭南</w:t>
      </w:r>
      <w:r>
        <w:t>从历史中走来，追寻着新丝路的脚步，</w:t>
      </w:r>
      <w:r>
        <w:rPr>
          <w:rFonts w:hint="eastAsia"/>
        </w:rPr>
        <w:t>以</w:t>
      </w:r>
      <w:r>
        <w:t>合作发展的理念，</w:t>
      </w:r>
      <w:r>
        <w:rPr>
          <w:rFonts w:hint="eastAsia"/>
        </w:rPr>
        <w:t>充分</w:t>
      </w:r>
      <w:r>
        <w:t>依靠中国与有关国家既有的双多边机制，借助既有的、行之有效的区域合作平台，借用</w:t>
      </w:r>
      <w:r>
        <w:rPr>
          <w:rFonts w:hint="eastAsia"/>
        </w:rPr>
        <w:t>“丝绸之路”的</w:t>
      </w:r>
      <w:r>
        <w:t>历史符号，高举和平发展的旗帜，积极主动地发展与沿线国家的经济合作伙伴关系，先后与</w:t>
      </w:r>
      <w:r>
        <w:rPr>
          <w:rFonts w:hint="eastAsia"/>
        </w:rPr>
        <w:t>“一带一路”沿线</w:t>
      </w:r>
      <w:r>
        <w:t>七个国家八个城市</w:t>
      </w:r>
      <w:r>
        <w:rPr>
          <w:rFonts w:hint="eastAsia"/>
        </w:rPr>
        <w:t>建立了</w:t>
      </w:r>
      <w:r>
        <w:t>国际友好城市关系，与国内中部六省七市建立了战略合作关系，初步形成了内外共融</w:t>
      </w:r>
      <w:r>
        <w:rPr>
          <w:rFonts w:hint="eastAsia"/>
        </w:rPr>
        <w:t>、</w:t>
      </w:r>
      <w:r>
        <w:t>东西互济的开放发展新格局。</w:t>
      </w:r>
    </w:p>
    <w:p>
      <w:pPr>
        <w:pStyle w:val="128"/>
      </w:pPr>
      <w:r>
        <w:rPr>
          <w:rFonts w:hint="eastAsia"/>
        </w:rPr>
        <w:t>（2）关中-天水经济区</w:t>
      </w:r>
    </w:p>
    <w:p>
      <w:pPr>
        <w:pStyle w:val="128"/>
      </w:pPr>
      <w:r>
        <w:rPr>
          <w:rFonts w:hint="eastAsia"/>
        </w:rPr>
        <w:t>关中</w:t>
      </w:r>
      <w:r>
        <w:t>-天水经济区</w:t>
      </w:r>
      <w:r>
        <w:rPr>
          <w:rFonts w:hint="eastAsia"/>
        </w:rPr>
        <w:t>（以下</w:t>
      </w:r>
      <w:r>
        <w:t>简称关天经济区</w:t>
      </w:r>
      <w:r>
        <w:rPr>
          <w:rFonts w:hint="eastAsia"/>
        </w:rPr>
        <w:t>）</w:t>
      </w:r>
      <w:r>
        <w:t>包括陕西省</w:t>
      </w:r>
      <w:r>
        <w:rPr>
          <w:rFonts w:hint="eastAsia"/>
        </w:rPr>
        <w:t>西安</w:t>
      </w:r>
      <w:r>
        <w:t>、铜川、咸阳、杨凌、宝鸡、渭南、商洛市部分区县和甘肃省天水市所辖行政区域，</w:t>
      </w:r>
      <w:r>
        <w:rPr>
          <w:rFonts w:hint="eastAsia"/>
        </w:rPr>
        <w:t>面积7.98万</w:t>
      </w:r>
      <w:r>
        <w:t>平方公里，直接辐射区域包括陕西</w:t>
      </w:r>
      <w:r>
        <w:rPr>
          <w:rFonts w:hint="eastAsia"/>
        </w:rPr>
        <w:t>省</w:t>
      </w:r>
      <w:r>
        <w:t>陕南的汉中、安康，陕北的延安、榆林，甘肃省的平凉、庆阳和陇南地区。</w:t>
      </w:r>
    </w:p>
    <w:p>
      <w:pPr>
        <w:pStyle w:val="129"/>
      </w:pPr>
      <w:r>
        <w:drawing>
          <wp:inline distT="0" distB="0" distL="0" distR="0">
            <wp:extent cx="3599815" cy="4091940"/>
            <wp:effectExtent l="0" t="0" r="635"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3600000" cy="4092427"/>
                    </a:xfrm>
                    <a:prstGeom prst="rect">
                      <a:avLst/>
                    </a:prstGeom>
                    <a:noFill/>
                    <a:ln>
                      <a:noFill/>
                    </a:ln>
                  </pic:spPr>
                </pic:pic>
              </a:graphicData>
            </a:graphic>
          </wp:inline>
        </w:drawing>
      </w:r>
    </w:p>
    <w:p>
      <w:pPr>
        <w:pStyle w:val="137"/>
        <w:numPr>
          <w:ilvl w:val="0"/>
          <w:numId w:val="7"/>
        </w:numPr>
      </w:pPr>
      <w:r>
        <w:rPr>
          <w:rFonts w:hint="eastAsia"/>
        </w:rPr>
        <w:t>关中</w:t>
      </w:r>
      <w:r>
        <w:t>-天水经济区</w:t>
      </w:r>
    </w:p>
    <w:p>
      <w:pPr>
        <w:pStyle w:val="128"/>
      </w:pPr>
      <w:r>
        <w:rPr>
          <w:rFonts w:hint="eastAsia"/>
        </w:rPr>
        <w:t>关天经济区地处亚欧大陆桥中心，处于承东启西、联接南北的战略要地，是我国西部地区经济基础好、自然条件优越、人文历史深厚、发展潜力较大的地区。关天经济区的建设发展，有利于增强区域经济实力，形成支撑和带动西部地区加快发展的重要增长极；有利于深化体制机制创新，为统筹科技资源改革探索新路径、提供新经验；有利于构建开放合作的新格局，推动西北地区经济振兴；有利于深入实施西部大开发战略，建设大西安、带动大关中、引领大西北；有利于应对当前国际金融危机的影响，承接东中部地区产业转移，促进区域协调发展。</w:t>
      </w:r>
    </w:p>
    <w:p>
      <w:pPr>
        <w:pStyle w:val="128"/>
      </w:pPr>
      <w:r>
        <w:rPr>
          <w:rFonts w:hint="eastAsia"/>
        </w:rPr>
        <w:t>《关中</w:t>
      </w:r>
      <w:r>
        <w:t>-天水经济区发展规划</w:t>
      </w:r>
      <w:r>
        <w:rPr>
          <w:rFonts w:hint="eastAsia"/>
        </w:rPr>
        <w:t>》（2009</w:t>
      </w:r>
      <w:r>
        <w:t>-2020</w:t>
      </w:r>
      <w:r>
        <w:rPr>
          <w:rFonts w:hint="eastAsia"/>
        </w:rPr>
        <w:t>年）明确</w:t>
      </w:r>
      <w:r>
        <w:t>提出</w:t>
      </w:r>
      <w:r>
        <w:rPr>
          <w:rFonts w:hint="eastAsia"/>
        </w:rPr>
        <w:t>“一核、一轴</w:t>
      </w:r>
      <w:r>
        <w:t>、三辐射</w:t>
      </w:r>
      <w:r>
        <w:rPr>
          <w:rFonts w:hint="eastAsia"/>
        </w:rPr>
        <w:t>”的</w:t>
      </w:r>
      <w:r>
        <w:t>空间发展战略</w:t>
      </w:r>
      <w:r>
        <w:rPr>
          <w:rFonts w:hint="eastAsia"/>
        </w:rPr>
        <w:t>，</w:t>
      </w:r>
      <w:r>
        <w:t>以西安（</w:t>
      </w:r>
      <w:r>
        <w:rPr>
          <w:rFonts w:hint="eastAsia"/>
        </w:rPr>
        <w:t>咸阳</w:t>
      </w:r>
      <w:r>
        <w:t>）</w:t>
      </w:r>
      <w:r>
        <w:rPr>
          <w:rFonts w:hint="eastAsia"/>
        </w:rPr>
        <w:t>大都市</w:t>
      </w:r>
      <w:r>
        <w:t>为核心，引领和辐射带动西部和北方内陆地区；</w:t>
      </w:r>
      <w:r>
        <w:rPr>
          <w:rFonts w:hint="eastAsia"/>
        </w:rPr>
        <w:t>依托</w:t>
      </w:r>
      <w:r>
        <w:t>陇海铁路和连霍高速公路，带动沿线宝鸡、铜川、渭南、商洛、杨凌、天水等次核心城市，</w:t>
      </w:r>
      <w:r>
        <w:rPr>
          <w:rFonts w:hint="eastAsia"/>
        </w:rPr>
        <w:t>形成</w:t>
      </w:r>
      <w:r>
        <w:t>西部发达的城市群和产业集聚带</w:t>
      </w:r>
      <w:r>
        <w:rPr>
          <w:rFonts w:hint="eastAsia"/>
        </w:rPr>
        <w:t>；核心城市</w:t>
      </w:r>
      <w:r>
        <w:t>和次核心城市依托</w:t>
      </w:r>
      <w:r>
        <w:rPr>
          <w:rFonts w:hint="eastAsia"/>
        </w:rPr>
        <w:t>向外</w:t>
      </w:r>
      <w:r>
        <w:t>辐射的交通干线，加强与辐射区域的经济合作，促进生产</w:t>
      </w:r>
      <w:r>
        <w:rPr>
          <w:rFonts w:hint="eastAsia"/>
        </w:rPr>
        <w:t>要素</w:t>
      </w:r>
      <w:r>
        <w:t>合理流动和优化配置，带动经济区南北两翼发展。</w:t>
      </w:r>
    </w:p>
    <w:p>
      <w:pPr>
        <w:pStyle w:val="128"/>
      </w:pPr>
      <w:r>
        <w:rPr>
          <w:rFonts w:hint="eastAsia"/>
        </w:rPr>
        <w:t>渭南</w:t>
      </w:r>
      <w:r>
        <w:t>作为关天经济区重要的次核心城市，</w:t>
      </w:r>
      <w:r>
        <w:rPr>
          <w:rFonts w:hint="eastAsia"/>
        </w:rPr>
        <w:t>要</w:t>
      </w:r>
      <w:r>
        <w:t>充分</w:t>
      </w:r>
      <w:r>
        <w:rPr>
          <w:rFonts w:hint="eastAsia"/>
        </w:rPr>
        <w:t>利用</w:t>
      </w:r>
      <w:r>
        <w:t>科技优势、区位优势和产业基础，加快人口聚集和产业聚集，构筑较大规模的城市群。</w:t>
      </w:r>
      <w:r>
        <w:rPr>
          <w:rFonts w:hint="eastAsia"/>
        </w:rPr>
        <w:t>统筹</w:t>
      </w:r>
      <w:r>
        <w:t>各类资源，提升自主创新能力，形成具有核心竞争力的</w:t>
      </w:r>
      <w:r>
        <w:rPr>
          <w:rFonts w:hint="eastAsia"/>
        </w:rPr>
        <w:t>区域</w:t>
      </w:r>
      <w:r>
        <w:t>创新体系，实现关键领域和核心技术的重大创新突破，引导创新要素向企业集聚，形成特色产业集群。</w:t>
      </w:r>
    </w:p>
    <w:p>
      <w:pPr>
        <w:pStyle w:val="128"/>
      </w:pPr>
      <w:r>
        <w:rPr>
          <w:rFonts w:hint="eastAsia"/>
        </w:rPr>
        <w:t>（3）晋陕豫黄河金三角</w:t>
      </w:r>
    </w:p>
    <w:p>
      <w:pPr>
        <w:pStyle w:val="128"/>
      </w:pPr>
      <w:r>
        <w:rPr>
          <w:rFonts w:hint="eastAsia"/>
        </w:rPr>
        <w:t>晋陕豫黄河金三角地区（以下简称“黄河金三角”）位于山西、陕西、河南三省交界地带的黄河沿岸，包括运城市、临汾市、渭南市和三门峡市，全区国土面积</w:t>
      </w:r>
      <w:r>
        <w:t>5.78</w:t>
      </w:r>
      <w:r>
        <w:rPr>
          <w:rFonts w:hint="eastAsia"/>
        </w:rPr>
        <w:t>万km</w:t>
      </w:r>
      <w:r>
        <w:rPr>
          <w:vertAlign w:val="superscript"/>
        </w:rPr>
        <w:t>2</w:t>
      </w:r>
      <w:r>
        <w:rPr>
          <w:rFonts w:hint="eastAsia"/>
        </w:rPr>
        <w:t>，</w:t>
      </w:r>
      <w:r>
        <w:t>人口</w:t>
      </w:r>
      <w:r>
        <w:rPr>
          <w:rFonts w:hint="eastAsia"/>
        </w:rPr>
        <w:t>1721万，生产总值4917亿元，分别占三省总和的10.9%、9.5%和8.1%。黄河金三角处于我国中西部接合带和欧亚大陆桥重要地段，是实施西部大开发战略和促进中部地区崛起战略的重点区域，在我国区域发展格局中具有重要地位。</w:t>
      </w:r>
    </w:p>
    <w:p>
      <w:pPr>
        <w:pStyle w:val="128"/>
      </w:pPr>
      <w:r>
        <w:rPr>
          <w:rFonts w:hint="eastAsia"/>
        </w:rPr>
        <w:t>金三角协作区内，无论是地理条件，还是资源组合都有很多共同特点，三省四市的地势、气温、降水量都很相似，不仅农业发达，而且矿产资源、旅游资源丰富，区域间交通比较方便。历史上由于受行政区划的制约，三省四市经济发展长期未能突破封闭式的自然格局，加上又地处三省边缘，经济发展相对迟缓，资源优势未能充分发挥。</w:t>
      </w:r>
    </w:p>
    <w:p>
      <w:pPr>
        <w:pStyle w:val="128"/>
      </w:pPr>
      <w:r>
        <w:rPr>
          <w:rFonts w:hint="eastAsia"/>
        </w:rPr>
        <w:t>目前，黄河三角区四市产业分工明确、互补较差，导致四市间的联系相对薄弱。但从长远发展看，四市地域临近、资源互补、社会经济联系频繁，为实现区域的功能协调发展创造了条件。从空间结构上看，目前，黄河三角区并不是一个完整的功能化地域，因此很难找到一个绝对的中心城市，从而决定了未来四市的协作发展应该遵循一个循序渐进的过程。</w:t>
      </w:r>
    </w:p>
    <w:p>
      <w:pPr>
        <w:pStyle w:val="129"/>
      </w:pPr>
      <w:r>
        <w:drawing>
          <wp:inline distT="0" distB="0" distL="0" distR="0">
            <wp:extent cx="5039995" cy="2816860"/>
            <wp:effectExtent l="0" t="0" r="8255" b="2540"/>
            <wp:docPr id="30" name="图片 30" descr="C:\Users\12017\AppData\Roaming\Tencent\Users\497121372\QQ\WinTemp\RichOle\0PA~D$D}{{GUDI}5$_$(N`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12017\AppData\Roaming\Tencent\Users\497121372\QQ\WinTemp\RichOle\0PA~D$D}{{GUDI}5$_$(N`F.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040000" cy="2817034"/>
                    </a:xfrm>
                    <a:prstGeom prst="rect">
                      <a:avLst/>
                    </a:prstGeom>
                    <a:noFill/>
                    <a:ln>
                      <a:noFill/>
                    </a:ln>
                  </pic:spPr>
                </pic:pic>
              </a:graphicData>
            </a:graphic>
          </wp:inline>
        </w:drawing>
      </w:r>
    </w:p>
    <w:p>
      <w:pPr>
        <w:pStyle w:val="137"/>
        <w:numPr>
          <w:ilvl w:val="0"/>
          <w:numId w:val="7"/>
        </w:numPr>
      </w:pPr>
      <w:r>
        <w:rPr>
          <w:rFonts w:hint="eastAsia"/>
        </w:rPr>
        <w:t>黄河三角区区域发展格局分析示意</w:t>
      </w:r>
    </w:p>
    <w:p>
      <w:pPr>
        <w:pStyle w:val="128"/>
      </w:pPr>
      <w:r>
        <w:rPr>
          <w:rFonts w:hint="eastAsia"/>
        </w:rPr>
        <w:t>黄河三角区区域协调发展态势：区域分工协作进程加快，逐步由“理念层面”向“实质性操作层面”转变，为渭南市发展创造机遇，有助于提升渭南市的区域地位。该区域的发展将重点构筑优势特色产业体系，打造我国重要的能源、新材料、特色农产品生产加工基地和精品旅游目的地及文化产业集聚地。</w:t>
      </w:r>
    </w:p>
    <w:p>
      <w:pPr>
        <w:pStyle w:val="128"/>
      </w:pPr>
      <w:r>
        <w:rPr>
          <w:rFonts w:hint="eastAsia"/>
        </w:rPr>
        <w:t>《晋陕豫黄河金三角区域合作规划》中</w:t>
      </w:r>
      <w:r>
        <w:t>明确提出对渭南市的产业发展定位：</w:t>
      </w:r>
      <w:r>
        <w:rPr>
          <w:rFonts w:hint="eastAsia"/>
        </w:rPr>
        <w:t>建设生态园林城市，依托国家级高新技术产业开发区等平台，集聚发展新材料、新能源、通用航空、智能装备、电子信息等战略性新兴产业和高技术产业，打造先进制造业基地和科技创新基地。</w:t>
      </w:r>
    </w:p>
    <w:p>
      <w:pPr>
        <w:pStyle w:val="129"/>
      </w:pPr>
      <w:r>
        <w:drawing>
          <wp:inline distT="0" distB="0" distL="0" distR="0">
            <wp:extent cx="4319905" cy="1979295"/>
            <wp:effectExtent l="0" t="0" r="4445" b="1905"/>
            <wp:docPr id="7" name="图片 7" descr="C:\Users\12017\AppData\Roaming\Tencent\Users\497121372\QQ\WinTemp\RichOle\%[3Q{GV5Q`}]2P5@P{1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12017\AppData\Roaming\Tencent\Users\497121372\QQ\WinTemp\RichOle\%[3Q{GV5Q`}]2P5@P{10`@C.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4320000" cy="1979570"/>
                    </a:xfrm>
                    <a:prstGeom prst="rect">
                      <a:avLst/>
                    </a:prstGeom>
                    <a:noFill/>
                    <a:ln>
                      <a:noFill/>
                    </a:ln>
                  </pic:spPr>
                </pic:pic>
              </a:graphicData>
            </a:graphic>
          </wp:inline>
        </w:drawing>
      </w:r>
    </w:p>
    <w:p>
      <w:pPr>
        <w:pStyle w:val="137"/>
        <w:numPr>
          <w:ilvl w:val="0"/>
          <w:numId w:val="7"/>
        </w:numPr>
      </w:pPr>
      <w:r>
        <w:rPr>
          <w:rFonts w:hint="eastAsia"/>
        </w:rPr>
        <w:t>渭南处于</w:t>
      </w:r>
      <w:r>
        <w:t>天水-关中经济</w:t>
      </w:r>
      <w:r>
        <w:rPr>
          <w:rFonts w:hint="eastAsia"/>
        </w:rPr>
        <w:t>区和</w:t>
      </w:r>
      <w:r>
        <w:t>三省协作的重要区位</w:t>
      </w:r>
    </w:p>
    <w:p>
      <w:pPr>
        <w:pStyle w:val="128"/>
      </w:pPr>
      <w:r>
        <w:rPr>
          <w:rFonts w:hint="eastAsia"/>
        </w:rPr>
        <w:t>在《全国城镇体系规划》中，关中城镇群是实施西部大开发的重要发展地区，位于全国城镇体系二级城镇发展轴上。渭南属于关中城镇群的东部门户，是西陇海经济带的东起点，我国中部与西北地区联系的节点，处于国家东西联系的“大动脉”上，具有承东启西的区位优势。渭南处于西部重点开发地区（关中－天水经济区）以及重点城镇群（关中城镇群）上，且处于三省协作发展的核心区，面临巨大的发展机遇。</w:t>
      </w:r>
    </w:p>
    <w:p>
      <w:pPr>
        <w:pStyle w:val="128"/>
      </w:pPr>
      <w:r>
        <w:rPr>
          <w:rFonts w:hint="eastAsia"/>
        </w:rPr>
        <w:t>（4）西安一小时经济圈</w:t>
      </w:r>
    </w:p>
    <w:p>
      <w:pPr>
        <w:pStyle w:val="128"/>
      </w:pPr>
      <w:r>
        <w:t>2013</w:t>
      </w:r>
      <w:r>
        <w:rPr>
          <w:rFonts w:hint="eastAsia"/>
        </w:rPr>
        <w:t>年</w:t>
      </w:r>
      <w:r>
        <w:t>，</w:t>
      </w:r>
      <w:r>
        <w:rPr>
          <w:rFonts w:hint="eastAsia"/>
        </w:rPr>
        <w:t>《第一财经周刊》首次提出“新一线”城市的概念。当年，他们走访了285家大公司，用访谈和问卷的方式考察了它们与不同城市的连接程度，为中国城市分级。</w:t>
      </w:r>
      <w:r>
        <w:t>2016年4月25日，在针对338个中国地级以上城市，通过160个品牌的门店分布和14家互联网公司的用户数据分析后，按照商业资源集聚度、城市枢纽性、城市人活跃度、生活多样性和未来可塑性5个维度的平均加权计算，重新评估中国城市的商业魅力，为中国城市再分级。</w:t>
      </w:r>
      <w:r>
        <w:rPr>
          <w:rFonts w:hint="eastAsia"/>
        </w:rPr>
        <w:t>西安</w:t>
      </w:r>
      <w:r>
        <w:t>再度</w:t>
      </w:r>
      <w:r>
        <w:rPr>
          <w:rFonts w:hint="eastAsia"/>
        </w:rPr>
        <w:t>实力上榜，</w:t>
      </w:r>
      <w:r>
        <w:t>成为名副其实的国际化大都市，</w:t>
      </w:r>
      <w:r>
        <w:rPr>
          <w:rFonts w:hint="eastAsia"/>
        </w:rPr>
        <w:t>毋庸置疑</w:t>
      </w:r>
      <w:r>
        <w:t>是</w:t>
      </w:r>
      <w:r>
        <w:rPr>
          <w:rFonts w:hint="eastAsia"/>
        </w:rPr>
        <w:t>西北地区文化</w:t>
      </w:r>
      <w:r>
        <w:t>、政治、经济的核心。</w:t>
      </w:r>
    </w:p>
    <w:p>
      <w:pPr>
        <w:pStyle w:val="129"/>
      </w:pPr>
      <w:r>
        <w:drawing>
          <wp:inline distT="0" distB="0" distL="0" distR="0">
            <wp:extent cx="5039360" cy="4374515"/>
            <wp:effectExtent l="0" t="0" r="8890" b="6985"/>
            <wp:docPr id="10" name="图片 10" descr="E:\20160802 渭南市新能源新材料产业规划\04 作图\西安一小时经济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E:\20160802 渭南市新能源新材料产业规划\04 作图\西安一小时经济圈.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040000" cy="4375299"/>
                    </a:xfrm>
                    <a:prstGeom prst="rect">
                      <a:avLst/>
                    </a:prstGeom>
                    <a:noFill/>
                    <a:ln>
                      <a:noFill/>
                    </a:ln>
                  </pic:spPr>
                </pic:pic>
              </a:graphicData>
            </a:graphic>
          </wp:inline>
        </w:drawing>
      </w:r>
    </w:p>
    <w:p>
      <w:pPr>
        <w:pStyle w:val="137"/>
        <w:numPr>
          <w:ilvl w:val="0"/>
          <w:numId w:val="7"/>
        </w:numPr>
      </w:pPr>
      <w:r>
        <w:rPr>
          <w:rFonts w:hint="eastAsia"/>
        </w:rPr>
        <w:t>西安</w:t>
      </w:r>
      <w:r>
        <w:t>一小时经济圈</w:t>
      </w:r>
    </w:p>
    <w:p>
      <w:pPr>
        <w:pStyle w:val="128"/>
      </w:pPr>
      <w:r>
        <w:rPr>
          <w:rFonts w:hint="eastAsia"/>
        </w:rPr>
        <w:t>渭南市紧邻西安，市中心区域距离西安市中心仅100km，处于西安市一小时经济圈的覆盖范围，西安作为发展迅速的国际化大都市，其快速发展将对渭南市带来政治、经济上毋容置疑的带动作用。尤其是西郑高铁开通后，西安到渭南的时间由一小时缩短为半小时，极大地强化了渭南和西安的联系，无疑会对渭南市的发展产生深刻影响。</w:t>
      </w:r>
    </w:p>
    <w:p>
      <w:pPr>
        <w:pStyle w:val="128"/>
      </w:pPr>
      <w:r>
        <w:rPr>
          <w:rFonts w:hint="eastAsia"/>
        </w:rPr>
        <w:t>2</w:t>
      </w:r>
      <w:r>
        <w:t>012</w:t>
      </w:r>
      <w:r>
        <w:rPr>
          <w:rFonts w:hint="eastAsia"/>
        </w:rPr>
        <w:t>年2月</w:t>
      </w:r>
      <w:r>
        <w:t>，</w:t>
      </w:r>
      <w:r>
        <w:rPr>
          <w:rFonts w:hint="eastAsia"/>
        </w:rPr>
        <w:t>陕西省</w:t>
      </w:r>
      <w:r>
        <w:t>省委、省政府出台《</w:t>
      </w:r>
      <w:r>
        <w:rPr>
          <w:rFonts w:hint="eastAsia"/>
        </w:rPr>
        <w:t>关于</w:t>
      </w:r>
      <w:r>
        <w:t>支持渭南加快建设陕西东大门的若干意见》</w:t>
      </w:r>
      <w:r>
        <w:rPr>
          <w:rFonts w:hint="eastAsia"/>
        </w:rPr>
        <w:t>中</w:t>
      </w:r>
      <w:r>
        <w:t>提出要推进西渭融合发展</w:t>
      </w:r>
      <w:r>
        <w:rPr>
          <w:rFonts w:hint="eastAsia"/>
        </w:rPr>
        <w:t>。《意见》出台后</w:t>
      </w:r>
      <w:r>
        <w:t>，渭南市随</w:t>
      </w:r>
      <w:r>
        <w:rPr>
          <w:rFonts w:hint="eastAsia"/>
        </w:rPr>
        <w:t>即</w:t>
      </w:r>
      <w:r>
        <w:t>启动该项工作，并</w:t>
      </w:r>
      <w:r>
        <w:rPr>
          <w:rFonts w:hint="eastAsia"/>
        </w:rPr>
        <w:t>就</w:t>
      </w:r>
      <w:r>
        <w:t>西渭融合发展展开与西安市的对接工作，并签署了关于加快西渭融合发展战略合作的框架协议</w:t>
      </w:r>
      <w:r>
        <w:rPr>
          <w:rFonts w:hint="eastAsia"/>
        </w:rPr>
        <w:t>。根据</w:t>
      </w:r>
      <w:r>
        <w:t>协议，</w:t>
      </w:r>
      <w:r>
        <w:rPr>
          <w:rFonts w:hint="eastAsia"/>
        </w:rPr>
        <w:t>西安市与渭南市两地将在10个方面进行紧密合作：一是推动区域融合发展，建立战略合作关系；二是加强基础设施对接，构建支撑保障网络；三是搭建项目投资平台，推动产业战略联盟；四是密切商贸物流金融合作，完善现代服务体系；五是推动旅游融合发展，打造国际旅游胜地；六是扩大科教文卫共享，提升公共服务水平；七是发挥两地资源优势，促进资源合作；八是提升粮食蔬菜生产能力，推进现代农业产业化；九是加强大气污染联防联控，改善区域大气环境质量；十是建立合作交流机制，强化双方联系沟通。</w:t>
      </w:r>
    </w:p>
    <w:p>
      <w:pPr>
        <w:pStyle w:val="128"/>
      </w:pPr>
      <w:r>
        <w:rPr>
          <w:rFonts w:hint="eastAsia"/>
        </w:rPr>
        <w:t>其中包括</w:t>
      </w:r>
      <w:r>
        <w:t>：</w:t>
      </w:r>
    </w:p>
    <w:p>
      <w:pPr>
        <w:pStyle w:val="128"/>
      </w:pPr>
      <w:r>
        <w:rPr>
          <w:rFonts w:hint="eastAsia"/>
        </w:rPr>
        <w:t>（1）西安国际港务区与渭南陆路口岸对接合作协议；</w:t>
      </w:r>
    </w:p>
    <w:p>
      <w:pPr>
        <w:pStyle w:val="128"/>
      </w:pPr>
      <w:r>
        <w:rPr>
          <w:rFonts w:hint="eastAsia"/>
        </w:rPr>
        <w:t>（2）富平—阎良经济合作区建设协议；</w:t>
      </w:r>
    </w:p>
    <w:p>
      <w:pPr>
        <w:pStyle w:val="128"/>
      </w:pPr>
      <w:r>
        <w:rPr>
          <w:rFonts w:hint="eastAsia"/>
        </w:rPr>
        <w:t>（3）富平—阎良共建通用航空产业园合作协议；</w:t>
      </w:r>
    </w:p>
    <w:p>
      <w:pPr>
        <w:pStyle w:val="128"/>
      </w:pPr>
      <w:r>
        <w:rPr>
          <w:rFonts w:hint="eastAsia"/>
        </w:rPr>
        <w:t>（4）渭南卤阳湖现代产业综合开发区管理委员会与西安阎良国家航空高技术产业基地战略合作协议；</w:t>
      </w:r>
    </w:p>
    <w:p>
      <w:pPr>
        <w:pStyle w:val="128"/>
      </w:pPr>
      <w:r>
        <w:rPr>
          <w:rFonts w:hint="eastAsia"/>
        </w:rPr>
        <w:t>（5）西渭推进能源重点领域和重大项目合作共同建设能源产业体系的合作协议；</w:t>
      </w:r>
    </w:p>
    <w:p>
      <w:pPr>
        <w:pStyle w:val="128"/>
      </w:pPr>
      <w:r>
        <w:rPr>
          <w:rFonts w:hint="eastAsia"/>
        </w:rPr>
        <w:t>（6）西渭关于深化科技创新合作协议。</w:t>
      </w:r>
    </w:p>
    <w:p>
      <w:pPr>
        <w:pStyle w:val="128"/>
      </w:pPr>
      <w:r>
        <w:rPr>
          <w:rFonts w:hint="eastAsia"/>
        </w:rPr>
        <w:t>西安泾渭开发区</w:t>
      </w:r>
      <w:r>
        <w:t>的建成，西安北客站的投入运营和西安行政中心的北移</w:t>
      </w:r>
      <w:r>
        <w:rPr>
          <w:rFonts w:hint="eastAsia"/>
        </w:rPr>
        <w:t>，</w:t>
      </w:r>
      <w:r>
        <w:t>都带动着渭南</w:t>
      </w:r>
      <w:r>
        <w:rPr>
          <w:rFonts w:hint="eastAsia"/>
        </w:rPr>
        <w:t>及</w:t>
      </w:r>
      <w:r>
        <w:t>周围地区经济的发展</w:t>
      </w:r>
      <w:r>
        <w:rPr>
          <w:rFonts w:hint="eastAsia"/>
        </w:rPr>
        <w:t>。西安与</w:t>
      </w:r>
      <w:r>
        <w:t>渭南市的良好互动和合作协议的签署，</w:t>
      </w:r>
      <w:r>
        <w:rPr>
          <w:rFonts w:hint="eastAsia"/>
        </w:rPr>
        <w:t>都将</w:t>
      </w:r>
      <w:r>
        <w:t>进一步推动渭南和西安的融合发展，</w:t>
      </w:r>
      <w:r>
        <w:rPr>
          <w:rFonts w:hint="eastAsia"/>
        </w:rPr>
        <w:t>促进</w:t>
      </w:r>
      <w:r>
        <w:t>和带动渭南市的经济发展。</w:t>
      </w:r>
    </w:p>
    <w:p>
      <w:pPr>
        <w:pStyle w:val="125"/>
      </w:pPr>
      <w:bookmarkStart w:id="25" w:name="_Toc1773"/>
      <w:r>
        <w:rPr>
          <w:rFonts w:hint="eastAsia"/>
        </w:rPr>
        <w:t>资源禀赋</w:t>
      </w:r>
      <w:bookmarkEnd w:id="25"/>
    </w:p>
    <w:p>
      <w:pPr>
        <w:pStyle w:val="128"/>
      </w:pPr>
      <w:r>
        <w:rPr>
          <w:rFonts w:hint="eastAsia"/>
        </w:rPr>
        <w:t>（1）矿产资源</w:t>
      </w:r>
    </w:p>
    <w:p>
      <w:pPr>
        <w:pStyle w:val="128"/>
      </w:pPr>
      <w:r>
        <w:rPr>
          <w:rFonts w:hint="eastAsia"/>
        </w:rPr>
        <w:t>渭南市已探明的矿藏38种，其中储量大、易开采的26种，煤、钼、金、石、水颇具优势。原煤地质储量255亿吨，已探明储量50.3亿吨，占陕西省的11%，开发规模占陕西省的40%左右，产量占陕西省的30%，素以“渭北黑腰带”闻名全国。钼矿已探明储量150万吨，居全国第二位，年产钼精粉1.5万吨，约占全国产量一半，是亚洲最大的钼精粉生产基地，生产能力居全国首位的金堆城钼业基地，贮量10.9亿吨，含钼96.9万吨。黄金储量丰厚，主要分布在秦岭北部的潼关、华阴、华州区一带，保有储量325万吨，占全省储量的46%，年产黄金500多公斤，占全省一半以上，产量居全国第三，是全国重点金矿区之一。石灰石已探明储量1.08亿吨，大理石228.3万吨，年产水泥270万吨；分布在9县(市、区)的地热水和医饮兼用矿泉水源多量大，其中大荔矿泉水日出水6万吨，富含多种人体所需元素，被誉为“中国之最”。资源优势蕴藏着巨大的开发潜能，为发展经济提供了雄厚的物质基础。</w:t>
      </w:r>
    </w:p>
    <w:p>
      <w:pPr>
        <w:pStyle w:val="129"/>
      </w:pPr>
      <w:r>
        <w:rPr>
          <w:rFonts w:hint="eastAsia"/>
        </w:rPr>
        <w:drawing>
          <wp:inline distT="0" distB="0" distL="0" distR="0">
            <wp:extent cx="3959860" cy="4755515"/>
            <wp:effectExtent l="0" t="0" r="0" b="0"/>
            <wp:docPr id="2" name="图片 2" descr="矿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矿产"/>
                    <pic:cNvPicPr>
                      <a:picLocks noChangeAspect="1" noChangeArrowheads="1"/>
                    </pic:cNvPicPr>
                  </pic:nvPicPr>
                  <pic:blipFill>
                    <a:blip r:embed="rId22">
                      <a:extLst>
                        <a:ext uri="{28A0092B-C50C-407E-A947-70E740481C1C}">
                          <a14:useLocalDpi xmlns:a14="http://schemas.microsoft.com/office/drawing/2010/main" val="0"/>
                        </a:ext>
                      </a:extLst>
                    </a:blip>
                    <a:srcRect t="1612" b="2020"/>
                    <a:stretch>
                      <a:fillRect/>
                    </a:stretch>
                  </pic:blipFill>
                  <pic:spPr>
                    <a:xfrm>
                      <a:off x="0" y="0"/>
                      <a:ext cx="3960000" cy="4755812"/>
                    </a:xfrm>
                    <a:prstGeom prst="rect">
                      <a:avLst/>
                    </a:prstGeom>
                    <a:noFill/>
                    <a:ln>
                      <a:noFill/>
                    </a:ln>
                  </pic:spPr>
                </pic:pic>
              </a:graphicData>
            </a:graphic>
          </wp:inline>
        </w:drawing>
      </w:r>
    </w:p>
    <w:p>
      <w:pPr>
        <w:pStyle w:val="137"/>
        <w:numPr>
          <w:ilvl w:val="0"/>
          <w:numId w:val="7"/>
        </w:numPr>
      </w:pPr>
      <w:r>
        <w:rPr>
          <w:rFonts w:hint="eastAsia"/>
        </w:rPr>
        <w:t>矿产资源密集区分布图</w:t>
      </w:r>
    </w:p>
    <w:p>
      <w:pPr>
        <w:pStyle w:val="128"/>
      </w:pPr>
      <w:r>
        <w:rPr>
          <w:rFonts w:hint="eastAsia"/>
        </w:rPr>
        <w:t>（2）水资源</w:t>
      </w:r>
    </w:p>
    <w:p>
      <w:pPr>
        <w:pStyle w:val="128"/>
      </w:pPr>
      <w:r>
        <w:rPr>
          <w:rFonts w:hint="eastAsia"/>
        </w:rPr>
        <w:t>渭南市过境水资源比较丰富，主要河流包括黄河、渭河和北洛河，在本市全长分别为132.5</w:t>
      </w:r>
      <w:r>
        <w:t>km</w:t>
      </w:r>
      <w:r>
        <w:rPr>
          <w:rFonts w:hint="eastAsia"/>
        </w:rPr>
        <w:t>、138</w:t>
      </w:r>
      <w:r>
        <w:t>km</w:t>
      </w:r>
      <w:r>
        <w:rPr>
          <w:rFonts w:hint="eastAsia"/>
        </w:rPr>
        <w:t>和212km，三河过境客水多年平均来水量486.92亿立方米。目前，全市有秦岭生态功能区1处，自然保护区3个，森林公园10个，国家级风景名胜区6处，其中自然保护区总面积近10万公顷，占国土总面积的7.82％。</w:t>
      </w:r>
    </w:p>
    <w:p>
      <w:pPr>
        <w:pStyle w:val="129"/>
      </w:pPr>
      <w:r>
        <w:drawing>
          <wp:inline distT="0" distB="0" distL="0" distR="0">
            <wp:extent cx="2520315" cy="3131185"/>
            <wp:effectExtent l="0" t="0" r="0" b="0"/>
            <wp:docPr id="1" name="Picture 3" descr="地下水超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地下水超采"/>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2520315" cy="3131185"/>
                    </a:xfrm>
                    <a:prstGeom prst="rect">
                      <a:avLst/>
                    </a:prstGeom>
                    <a:noFill/>
                    <a:ln>
                      <a:noFill/>
                    </a:ln>
                  </pic:spPr>
                </pic:pic>
              </a:graphicData>
            </a:graphic>
          </wp:inline>
        </w:drawing>
      </w:r>
      <w:r>
        <w:drawing>
          <wp:inline distT="0" distB="0" distL="0" distR="0">
            <wp:extent cx="2520315" cy="3133725"/>
            <wp:effectExtent l="0" t="0" r="0" b="9525"/>
            <wp:docPr id="11" name="Picture 4" descr="自然保护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descr="自然保护区"/>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520315" cy="3133725"/>
                    </a:xfrm>
                    <a:prstGeom prst="rect">
                      <a:avLst/>
                    </a:prstGeom>
                    <a:noFill/>
                    <a:ln>
                      <a:noFill/>
                    </a:ln>
                  </pic:spPr>
                </pic:pic>
              </a:graphicData>
            </a:graphic>
          </wp:inline>
        </w:drawing>
      </w:r>
    </w:p>
    <w:p>
      <w:pPr>
        <w:pStyle w:val="137"/>
        <w:numPr>
          <w:ilvl w:val="0"/>
          <w:numId w:val="7"/>
        </w:numPr>
      </w:pPr>
      <w:r>
        <w:rPr>
          <w:rFonts w:hint="eastAsia"/>
        </w:rPr>
        <w:t>渭南市</w:t>
      </w:r>
      <w:r>
        <w:t>水资源分布</w:t>
      </w:r>
    </w:p>
    <w:p>
      <w:pPr>
        <w:pStyle w:val="128"/>
      </w:pPr>
      <w:r>
        <w:rPr>
          <w:rFonts w:hint="eastAsia"/>
        </w:rPr>
        <w:t>（3）太阳能</w:t>
      </w:r>
      <w:r>
        <w:t>资源</w:t>
      </w:r>
    </w:p>
    <w:p>
      <w:pPr>
        <w:pStyle w:val="128"/>
      </w:pPr>
      <w:r>
        <w:rPr>
          <w:rFonts w:hint="eastAsia"/>
        </w:rPr>
        <w:t>陕西省位于中国内陆腹地，黄河中游，地处N31°42′～N39°35′，E105°35′～E111°35′之间。东邻山西、河南，西连宁夏、甘肃，南抵四川、湖北，北接内蒙，居于连接中国东、中部地区和西北、西南的重要位置。全省地域南北长、东西窄，南北长约870km，东西宽200km～500km。境内气候差异很大，由北向南渐次过度为温带、暖温带和北亚热带。年平均降水量576.9mm，年平均气温13.0℃，无霜期218天左右。陕西地势的总特点是南北高，中部低；同时，地势由西向东倾斜的特点也很明显；北部是陕北高原，中部是关中平原，南部是秦巴山地。</w:t>
      </w:r>
    </w:p>
    <w:p>
      <w:pPr>
        <w:pStyle w:val="128"/>
      </w:pPr>
      <w:r>
        <w:rPr>
          <w:rFonts w:hint="eastAsia"/>
        </w:rPr>
        <w:t>陕西全省年平均太阳总辐射量为4410MJ/m</w:t>
      </w:r>
      <w:r>
        <w:rPr>
          <w:rFonts w:hint="eastAsia"/>
          <w:vertAlign w:val="superscript"/>
        </w:rPr>
        <w:t>2</w:t>
      </w:r>
      <w:r>
        <w:rPr>
          <w:rFonts w:hint="eastAsia"/>
        </w:rPr>
        <w:t>～5800MJ/m</w:t>
      </w:r>
      <w:r>
        <w:rPr>
          <w:rFonts w:hint="eastAsia"/>
          <w:vertAlign w:val="superscript"/>
        </w:rPr>
        <w:t>2</w:t>
      </w:r>
      <w:r>
        <w:rPr>
          <w:rFonts w:hint="eastAsia"/>
        </w:rPr>
        <w:t>，年平均日照时数在1270h～2900h之间。太阳总辐射量的空间分布特征是北部多于南部，南北相差约1200MJ/m</w:t>
      </w:r>
      <w:r>
        <w:rPr>
          <w:rFonts w:hint="eastAsia"/>
          <w:vertAlign w:val="superscript"/>
        </w:rPr>
        <w:t>2</w:t>
      </w:r>
      <w:r>
        <w:rPr>
          <w:rFonts w:hint="eastAsia"/>
        </w:rPr>
        <w:t>，高值区位于陕北长城沿线一带及渭北东部区域，年太阳总辐射量为5000MJ/m</w:t>
      </w:r>
      <w:r>
        <w:rPr>
          <w:rFonts w:hint="eastAsia"/>
          <w:vertAlign w:val="superscript"/>
        </w:rPr>
        <w:t>2</w:t>
      </w:r>
      <w:r>
        <w:rPr>
          <w:rFonts w:hint="eastAsia"/>
        </w:rPr>
        <w:t>～5800MJ/m</w:t>
      </w:r>
      <w:r>
        <w:rPr>
          <w:rFonts w:hint="eastAsia"/>
          <w:vertAlign w:val="superscript"/>
        </w:rPr>
        <w:t>2</w:t>
      </w:r>
      <w:r>
        <w:rPr>
          <w:rFonts w:hint="eastAsia"/>
        </w:rPr>
        <w:t>，低值区主要分布于关中西部，年太阳总辐射量为4400MJ/m</w:t>
      </w:r>
      <w:r>
        <w:rPr>
          <w:rFonts w:hint="eastAsia"/>
          <w:vertAlign w:val="superscript"/>
        </w:rPr>
        <w:t>2</w:t>
      </w:r>
      <w:r>
        <w:rPr>
          <w:rFonts w:hint="eastAsia"/>
        </w:rPr>
        <w:t>～4800MJ/m</w:t>
      </w:r>
      <w:r>
        <w:rPr>
          <w:rFonts w:hint="eastAsia"/>
          <w:vertAlign w:val="superscript"/>
        </w:rPr>
        <w:t>2</w:t>
      </w:r>
      <w:r>
        <w:rPr>
          <w:rFonts w:hint="eastAsia"/>
        </w:rPr>
        <w:t>。</w:t>
      </w:r>
    </w:p>
    <w:p>
      <w:pPr>
        <w:pStyle w:val="129"/>
      </w:pPr>
      <w:r>
        <w:pict>
          <v:group id="_x0000_s1042" o:spid="_x0000_s1042" o:spt="203" style="position:absolute;left:0pt;margin-left:260pt;margin-top:105.9pt;height:48.85pt;width:65.75pt;z-index:251658240;mso-width-relative:page;mso-height-relative:page;" coordorigin="6799,3456" coordsize="1315,977">
            <o:lock v:ext="edit"/>
            <v:shape id="_x0000_s1041" o:spid="_x0000_s1041" o:spt="62" type="#_x0000_t62" style="position:absolute;left:7263;top:3456;height:601;width:851;" fillcolor="#B2A1C7 [1943]" filled="t" stroked="t" coordsize="21600,21600" adj="-9518,31879">
              <v:path/>
              <v:fill type="gradient" on="t" color2="#E5DFEC [663]" angle="-45" focus="-50%" focussize="0f,0f"/>
              <v:stroke weight="1pt" color="#B2A1C7" miterlimit="2"/>
              <v:imagedata o:title=""/>
              <o:lock v:ext="edit"/>
              <v:shadow on="t" type="perspective" color="#3F3151 [1607]" opacity="32768f" offset="1pt,2pt" offset2="-3pt,-2pt"/>
              <v:textbox>
                <w:txbxContent>
                  <w:p>
                    <w:pPr>
                      <w:rPr>
                        <w:b/>
                        <w:sz w:val="21"/>
                        <w:szCs w:val="21"/>
                      </w:rPr>
                    </w:pPr>
                    <w:r>
                      <w:rPr>
                        <w:rFonts w:hint="eastAsia"/>
                        <w:b/>
                        <w:sz w:val="21"/>
                        <w:szCs w:val="21"/>
                      </w:rPr>
                      <w:t>渭南</w:t>
                    </w:r>
                  </w:p>
                </w:txbxContent>
              </v:textbox>
            </v:shape>
            <v:shape id="_x0000_s1039" o:spid="_x0000_s1039" o:spt="3" type="#_x0000_t3" style="position:absolute;left:6799;top:4232;height:201;width:201;" fillcolor="#B2A1C7 [1943]" filled="t" stroked="t" coordsize="21600,21600">
              <v:path/>
              <v:fill type="gradient" on="t" color2="#8064A2 [3207]" focus="50%" focussize="0f,0f"/>
              <v:stroke weight="1pt" color="#8064A2" miterlimit="2"/>
              <v:imagedata o:title=""/>
              <o:lock v:ext="edit"/>
              <v:shadow on="t" type="perspective" color="#3F3151 [1607]" offset="1pt,2pt" offset2="-3pt,-2pt"/>
            </v:shape>
          </v:group>
        </w:pict>
      </w:r>
      <w:r>
        <w:drawing>
          <wp:inline distT="0" distB="0" distL="0" distR="0">
            <wp:extent cx="2699385" cy="3542030"/>
            <wp:effectExtent l="0" t="0" r="0" b="0"/>
            <wp:docPr id="2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
                    <pic:cNvPicPr>
                      <a:picLocks noChangeAspect="1" noChangeArrowheads="1"/>
                    </pic:cNvPicPr>
                  </pic:nvPicPr>
                  <pic:blipFill>
                    <a:blip r:embed="rId25" cstate="print"/>
                    <a:srcRect/>
                    <a:stretch>
                      <a:fillRect/>
                    </a:stretch>
                  </pic:blipFill>
                  <pic:spPr>
                    <a:xfrm>
                      <a:off x="0" y="0"/>
                      <a:ext cx="2700000" cy="3542363"/>
                    </a:xfrm>
                    <a:prstGeom prst="rect">
                      <a:avLst/>
                    </a:prstGeom>
                    <a:noFill/>
                    <a:ln w="9525">
                      <a:noFill/>
                      <a:miter lim="800000"/>
                      <a:headEnd/>
                      <a:tailEnd/>
                    </a:ln>
                  </pic:spPr>
                </pic:pic>
              </a:graphicData>
            </a:graphic>
          </wp:inline>
        </w:drawing>
      </w:r>
    </w:p>
    <w:p>
      <w:pPr>
        <w:pStyle w:val="137"/>
        <w:numPr>
          <w:ilvl w:val="0"/>
          <w:numId w:val="7"/>
        </w:numPr>
      </w:pPr>
      <w:r>
        <w:rPr>
          <w:rFonts w:hint="eastAsia"/>
        </w:rPr>
        <w:t>陕西省</w:t>
      </w:r>
      <w:r>
        <w:t>太阳能资源分布</w:t>
      </w:r>
      <w:r>
        <w:rPr>
          <w:rFonts w:hint="eastAsia"/>
        </w:rPr>
        <w:t>图</w:t>
      </w:r>
    </w:p>
    <w:p>
      <w:pPr>
        <w:pStyle w:val="128"/>
      </w:pPr>
      <w:r>
        <w:rPr>
          <w:rFonts w:hint="eastAsia"/>
        </w:rPr>
        <w:t>渭南市位于黄河中游，陕西省关中平原东部。东经108°58′</w:t>
      </w:r>
      <w:r>
        <w:t>～</w:t>
      </w:r>
      <w:r>
        <w:rPr>
          <w:rFonts w:hint="eastAsia"/>
        </w:rPr>
        <w:t>110°35′和北纬34°13′</w:t>
      </w:r>
      <w:r>
        <w:t>～</w:t>
      </w:r>
      <w:r>
        <w:rPr>
          <w:rFonts w:hint="eastAsia"/>
        </w:rPr>
        <w:t>35°52′之间。属暖温带半湿润半干旱季风气候，四季分明，光照充足，年日照时数2100h～2500h，</w:t>
      </w:r>
      <w:r>
        <w:t>年均日照百分率为</w:t>
      </w:r>
      <w:r>
        <w:rPr>
          <w:rFonts w:hint="eastAsia"/>
        </w:rPr>
        <w:t>50</w:t>
      </w:r>
      <w:r>
        <w:t>%～</w:t>
      </w:r>
      <w:r>
        <w:rPr>
          <w:rFonts w:hint="eastAsia"/>
        </w:rPr>
        <w:t>62</w:t>
      </w:r>
      <w:r>
        <w:t>%，年均太阳总辐射量</w:t>
      </w:r>
      <w:r>
        <w:rPr>
          <w:rFonts w:hint="eastAsia"/>
        </w:rPr>
        <w:t>在</w:t>
      </w:r>
      <w:r>
        <w:t>4680MJ/m</w:t>
      </w:r>
      <w:r>
        <w:rPr>
          <w:vertAlign w:val="superscript"/>
        </w:rPr>
        <w:t>2</w:t>
      </w:r>
      <w:r>
        <w:t>～5040MJ/m</w:t>
      </w:r>
      <w:r>
        <w:rPr>
          <w:vertAlign w:val="superscript"/>
        </w:rPr>
        <w:t>2</w:t>
      </w:r>
      <w:r>
        <w:rPr>
          <w:rFonts w:hint="eastAsia"/>
        </w:rPr>
        <w:t>之间，特别是渭北一带属于是关中地区热量的高值区，年太阳总辐射量为5000</w:t>
      </w:r>
      <w:r>
        <w:t>MJ/m</w:t>
      </w:r>
      <w:r>
        <w:rPr>
          <w:vertAlign w:val="superscript"/>
        </w:rPr>
        <w:t>2</w:t>
      </w:r>
      <w:r>
        <w:t>～</w:t>
      </w:r>
      <w:r>
        <w:rPr>
          <w:rFonts w:hint="eastAsia"/>
        </w:rPr>
        <w:t>6000</w:t>
      </w:r>
      <w:r>
        <w:t>MJ/m</w:t>
      </w:r>
      <w:r>
        <w:rPr>
          <w:vertAlign w:val="superscript"/>
        </w:rPr>
        <w:t>2</w:t>
      </w:r>
      <w:r>
        <w:rPr>
          <w:rFonts w:hint="eastAsia"/>
        </w:rPr>
        <w:t>，按照国家太阳能资源等级划分标准，渭南市为太阳能资源“很丰富”等级，具备良好的太阳能光电大规模开发利用的经济、社会和环保价值。</w:t>
      </w:r>
    </w:p>
    <w:p>
      <w:pPr>
        <w:pStyle w:val="129"/>
      </w:pPr>
      <w:r>
        <w:drawing>
          <wp:inline distT="0" distB="0" distL="0" distR="0">
            <wp:extent cx="2519680" cy="2407920"/>
            <wp:effectExtent l="19050" t="0" r="0" b="0"/>
            <wp:docPr id="18" name="图片 41" descr="日照时数分布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1" descr="日照时数分布图.jpg"/>
                    <pic:cNvPicPr>
                      <a:picLocks noChangeAspect="1" noChangeArrowheads="1"/>
                    </pic:cNvPicPr>
                  </pic:nvPicPr>
                  <pic:blipFill>
                    <a:blip r:embed="rId26" cstate="print"/>
                    <a:srcRect b="13100"/>
                    <a:stretch>
                      <a:fillRect/>
                    </a:stretch>
                  </pic:blipFill>
                  <pic:spPr>
                    <a:xfrm>
                      <a:off x="0" y="0"/>
                      <a:ext cx="2520000" cy="2408139"/>
                    </a:xfrm>
                    <a:prstGeom prst="rect">
                      <a:avLst/>
                    </a:prstGeom>
                    <a:noFill/>
                    <a:ln w="9525">
                      <a:noFill/>
                      <a:miter lim="800000"/>
                      <a:headEnd/>
                      <a:tailEnd/>
                    </a:ln>
                  </pic:spPr>
                </pic:pic>
              </a:graphicData>
            </a:graphic>
          </wp:inline>
        </w:drawing>
      </w:r>
    </w:p>
    <w:p>
      <w:pPr>
        <w:pStyle w:val="137"/>
        <w:numPr>
          <w:ilvl w:val="0"/>
          <w:numId w:val="7"/>
        </w:numPr>
      </w:pPr>
      <w:r>
        <w:rPr>
          <w:rFonts w:hint="eastAsia"/>
        </w:rPr>
        <w:t>渭南市全年日照时数分布图</w:t>
      </w:r>
    </w:p>
    <w:p>
      <w:pPr>
        <w:pStyle w:val="128"/>
      </w:pPr>
      <w:r>
        <w:rPr>
          <w:rFonts w:hint="eastAsia"/>
        </w:rPr>
        <w:t>（4）地热资源</w:t>
      </w:r>
    </w:p>
    <w:p>
      <w:pPr>
        <w:pStyle w:val="128"/>
      </w:pPr>
      <w:r>
        <w:rPr>
          <w:rFonts w:hint="eastAsia"/>
        </w:rPr>
        <w:t>1）</w:t>
      </w:r>
      <w:r>
        <w:t>浅层地温能</w:t>
      </w:r>
    </w:p>
    <w:p>
      <w:pPr>
        <w:pStyle w:val="128"/>
      </w:pPr>
      <w:r>
        <w:t>浅层地</w:t>
      </w:r>
      <w:r>
        <w:rPr>
          <w:rFonts w:hint="eastAsia"/>
        </w:rPr>
        <w:t>温</w:t>
      </w:r>
      <w:r>
        <w:t>能是地热资源的组成部分。是指蕴藏在地表以下一定深度范围内岩土体、地下水和地表水中具有开发利用价值的热能（通过地源热泵换热技术利用的蕴藏在地表以下200m以内，温度低于25</w:t>
      </w:r>
      <w:r>
        <w:rPr>
          <w:rFonts w:hint="eastAsia"/>
        </w:rPr>
        <w:t>℃</w:t>
      </w:r>
      <w:r>
        <w:t>的热能）。由地源热泵系统制冷或制热，达到节省能源利于环境保护目的。地源热泵系统，是以岩土体、地下水或地表水为低温热源，由水源热泵机组、地热能交换系统、建筑物内系统组成的供热空调系统。</w:t>
      </w:r>
      <w:r>
        <w:rPr>
          <w:rFonts w:hint="eastAsia"/>
        </w:rPr>
        <w:t>目前关于</w:t>
      </w:r>
      <w:r>
        <w:t>浅层地温能的相关勘查工作还</w:t>
      </w:r>
      <w:r>
        <w:rPr>
          <w:rFonts w:hint="eastAsia"/>
        </w:rPr>
        <w:t>有所</w:t>
      </w:r>
      <w:r>
        <w:t>欠缺，</w:t>
      </w:r>
      <w:r>
        <w:rPr>
          <w:rFonts w:hint="eastAsia"/>
        </w:rPr>
        <w:t>规划区</w:t>
      </w:r>
      <w:r>
        <w:t>内</w:t>
      </w:r>
      <w:r>
        <w:rPr>
          <w:rFonts w:hint="eastAsia"/>
        </w:rPr>
        <w:t>位于</w:t>
      </w:r>
      <w:r>
        <w:t>关中平原</w:t>
      </w:r>
      <w:r>
        <w:rPr>
          <w:rFonts w:hint="eastAsia"/>
        </w:rPr>
        <w:t>，地下水比较丰富，其径流模数在</w:t>
      </w:r>
      <w:r>
        <w:t>25m</w:t>
      </w:r>
      <w:r>
        <w:rPr>
          <w:vertAlign w:val="superscript"/>
        </w:rPr>
        <w:t>3</w:t>
      </w:r>
      <w:r>
        <w:t>/s</w:t>
      </w:r>
      <w:r>
        <w:rPr>
          <w:rFonts w:hint="eastAsia"/>
        </w:rPr>
        <w:t>·</w:t>
      </w:r>
      <w:r>
        <w:t>km</w:t>
      </w:r>
      <w:r>
        <w:rPr>
          <w:vertAlign w:val="superscript"/>
        </w:rPr>
        <w:t>2</w:t>
      </w:r>
      <w:r>
        <w:rPr>
          <w:rFonts w:hint="eastAsia"/>
        </w:rPr>
        <w:t>～</w:t>
      </w:r>
      <w:r>
        <w:t>33m</w:t>
      </w:r>
      <w:r>
        <w:rPr>
          <w:vertAlign w:val="superscript"/>
        </w:rPr>
        <w:t>3</w:t>
      </w:r>
      <w:r>
        <w:t>/s</w:t>
      </w:r>
      <w:r>
        <w:rPr>
          <w:rFonts w:hint="eastAsia"/>
        </w:rPr>
        <w:t>·</w:t>
      </w:r>
      <w:r>
        <w:t>km</w:t>
      </w:r>
      <w:r>
        <w:rPr>
          <w:vertAlign w:val="superscript"/>
        </w:rPr>
        <w:t>2</w:t>
      </w:r>
      <w:r>
        <w:rPr>
          <w:rFonts w:hint="eastAsia"/>
        </w:rPr>
        <w:t>之间。对于渗透系数≥</w:t>
      </w:r>
      <w:r>
        <w:t>10m</w:t>
      </w:r>
      <w:r>
        <w:rPr>
          <w:vertAlign w:val="superscript"/>
        </w:rPr>
        <w:t>3</w:t>
      </w:r>
      <w:r>
        <w:t>/d</w:t>
      </w:r>
      <w:r>
        <w:rPr>
          <w:rFonts w:hint="eastAsia"/>
        </w:rPr>
        <w:t>的地区</w:t>
      </w:r>
      <w:r>
        <w:t>,</w:t>
      </w:r>
      <w:r>
        <w:rPr>
          <w:rFonts w:hint="eastAsia"/>
        </w:rPr>
        <w:t>也比较适合采用水源热泵空调。不适合水源热泵模式的地区，其黄土覆盖层较厚</w:t>
      </w:r>
      <w:r>
        <w:t>,</w:t>
      </w:r>
      <w:r>
        <w:rPr>
          <w:rFonts w:hint="eastAsia"/>
        </w:rPr>
        <w:t>埋管打孔容易</w:t>
      </w:r>
      <w:r>
        <w:t>,</w:t>
      </w:r>
      <w:r>
        <w:rPr>
          <w:rFonts w:hint="eastAsia"/>
        </w:rPr>
        <w:t>地下</w:t>
      </w:r>
      <w:r>
        <w:t>U</w:t>
      </w:r>
      <w:r>
        <w:rPr>
          <w:rFonts w:hint="eastAsia"/>
        </w:rPr>
        <w:t>形管换热器造价比较低</w:t>
      </w:r>
      <w:r>
        <w:t>,</w:t>
      </w:r>
      <w:r>
        <w:rPr>
          <w:rFonts w:hint="eastAsia"/>
        </w:rPr>
        <w:t>比较适合做地源热泵系统。</w:t>
      </w:r>
    </w:p>
    <w:p>
      <w:pPr>
        <w:pStyle w:val="128"/>
      </w:pPr>
      <w:r>
        <w:rPr>
          <w:rFonts w:hint="eastAsia"/>
        </w:rPr>
        <w:t>2）中深层地热能</w:t>
      </w:r>
    </w:p>
    <w:p>
      <w:pPr>
        <w:pStyle w:val="128"/>
      </w:pPr>
      <w:r>
        <w:t>渭南市位于关中盆地东部，蕴藏有多种矿产资源。其中，地热地质条件有利，地热资源丰富，低、中温地热流体均有分布，不但出露有25</w:t>
      </w:r>
      <w:r>
        <w:rPr>
          <w:rFonts w:hint="eastAsia"/>
        </w:rPr>
        <w:t>℃</w:t>
      </w:r>
      <w:r>
        <w:t>～32</w:t>
      </w:r>
      <w:r>
        <w:rPr>
          <w:rFonts w:hint="eastAsia" w:cs="宋体"/>
        </w:rPr>
        <w:t>℃</w:t>
      </w:r>
      <w:r>
        <w:t>岩溶温泉，而且在渭南市城区还发现有温度高达100</w:t>
      </w:r>
      <w:r>
        <w:rPr>
          <w:rFonts w:hint="eastAsia"/>
        </w:rPr>
        <w:t>℃</w:t>
      </w:r>
      <w:r>
        <w:t>～123</w:t>
      </w:r>
      <w:r>
        <w:rPr>
          <w:rFonts w:hint="eastAsia" w:cs="宋体"/>
        </w:rPr>
        <w:t>℃</w:t>
      </w:r>
      <w:r>
        <w:t>的地热流体和水溶气资源。按其赋存热储层位和特征，分为碳酸盐岩岩溶裂隙低温热储和碎屑岩类孔隙裂隙中温热储。</w:t>
      </w:r>
    </w:p>
    <w:p>
      <w:pPr>
        <w:pStyle w:val="128"/>
      </w:pPr>
      <w:r>
        <w:rPr>
          <w:rFonts w:hint="eastAsia"/>
        </w:rPr>
        <w:t>规划</w:t>
      </w:r>
      <w:r>
        <w:t>区域</w:t>
      </w:r>
      <w:r>
        <w:rPr>
          <w:rFonts w:hint="eastAsia"/>
        </w:rPr>
        <w:t>各热储层流体理论储存量总和为384.37×10</w:t>
      </w:r>
      <w:r>
        <w:rPr>
          <w:rFonts w:hint="eastAsia"/>
          <w:vertAlign w:val="superscript"/>
        </w:rPr>
        <w:t>8</w:t>
      </w:r>
      <w:r>
        <w:rPr>
          <w:rFonts w:hint="eastAsia"/>
        </w:rPr>
        <w:t>m</w:t>
      </w:r>
      <w:r>
        <w:rPr>
          <w:rFonts w:hint="eastAsia"/>
          <w:vertAlign w:val="superscript"/>
        </w:rPr>
        <w:t>3</w:t>
      </w:r>
      <w:r>
        <w:rPr>
          <w:rFonts w:hint="eastAsia"/>
        </w:rPr>
        <w:t>。</w:t>
      </w:r>
      <w:r>
        <w:t>地热单元储存的总热量1.316×10</w:t>
      </w:r>
      <w:r>
        <w:rPr>
          <w:vertAlign w:val="superscript"/>
        </w:rPr>
        <w:t>17</w:t>
      </w:r>
      <w:r>
        <w:t>kcal，相当于标准煤188.30×10</w:t>
      </w:r>
      <w:r>
        <w:rPr>
          <w:vertAlign w:val="superscript"/>
        </w:rPr>
        <w:t>8</w:t>
      </w:r>
      <w:r>
        <w:t>t。按埋藏深度</w:t>
      </w:r>
      <w:r>
        <w:rPr>
          <w:rFonts w:hint="eastAsia"/>
        </w:rPr>
        <w:t>的</w:t>
      </w:r>
      <w:r>
        <w:t>储量分布见表</w:t>
      </w:r>
      <w:r>
        <w:rPr>
          <w:rFonts w:hint="eastAsia"/>
        </w:rPr>
        <w:t>3.1。</w:t>
      </w:r>
    </w:p>
    <w:p>
      <w:pPr>
        <w:pStyle w:val="132"/>
        <w:numPr>
          <w:ilvl w:val="0"/>
          <w:numId w:val="8"/>
        </w:numPr>
      </w:pPr>
      <w:r>
        <w:rPr>
          <w:rFonts w:hint="eastAsia"/>
        </w:rPr>
        <w:t>渭南地区地热单元</w:t>
      </w:r>
      <w:r>
        <w:t>储量</w:t>
      </w:r>
      <w:r>
        <w:rPr>
          <w:rFonts w:hint="eastAsia"/>
        </w:rPr>
        <w:t>分布</w:t>
      </w:r>
    </w:p>
    <w:tbl>
      <w:tblPr>
        <w:tblStyle w:val="46"/>
        <w:tblW w:w="724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3"/>
        <w:gridCol w:w="1659"/>
        <w:gridCol w:w="1659"/>
        <w:gridCol w:w="16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63" w:type="dxa"/>
            <w:vAlign w:val="center"/>
          </w:tcPr>
          <w:p>
            <w:pPr>
              <w:pStyle w:val="36"/>
            </w:pPr>
            <w:r>
              <w:rPr>
                <w:rFonts w:hint="eastAsia"/>
              </w:rPr>
              <w:t>埋藏深度</w:t>
            </w:r>
          </w:p>
        </w:tc>
        <w:tc>
          <w:tcPr>
            <w:tcW w:w="1659" w:type="dxa"/>
            <w:vAlign w:val="center"/>
          </w:tcPr>
          <w:p>
            <w:pPr>
              <w:pStyle w:val="36"/>
            </w:pPr>
            <w:r>
              <w:rPr>
                <w:rFonts w:hint="eastAsia"/>
              </w:rPr>
              <w:t>亿吨</w:t>
            </w:r>
          </w:p>
        </w:tc>
        <w:tc>
          <w:tcPr>
            <w:tcW w:w="1659" w:type="dxa"/>
            <w:vAlign w:val="center"/>
          </w:tcPr>
          <w:p>
            <w:pPr>
              <w:pStyle w:val="36"/>
            </w:pPr>
            <w:r>
              <w:rPr>
                <w:rFonts w:hint="eastAsia"/>
              </w:rPr>
              <w:t>占比（%）</w:t>
            </w:r>
          </w:p>
        </w:tc>
        <w:tc>
          <w:tcPr>
            <w:tcW w:w="1659" w:type="dxa"/>
            <w:vAlign w:val="center"/>
          </w:tcPr>
          <w:p>
            <w:pPr>
              <w:pStyle w:val="36"/>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63" w:type="dxa"/>
            <w:vAlign w:val="center"/>
          </w:tcPr>
          <w:p>
            <w:pPr>
              <w:pStyle w:val="36"/>
            </w:pPr>
            <w:r>
              <w:t>2000m以浅</w:t>
            </w:r>
          </w:p>
        </w:tc>
        <w:tc>
          <w:tcPr>
            <w:tcW w:w="1659" w:type="dxa"/>
            <w:vAlign w:val="center"/>
          </w:tcPr>
          <w:p>
            <w:pPr>
              <w:pStyle w:val="36"/>
            </w:pPr>
            <w:r>
              <w:t>22.85</w:t>
            </w:r>
          </w:p>
        </w:tc>
        <w:tc>
          <w:tcPr>
            <w:tcW w:w="1659" w:type="dxa"/>
            <w:vAlign w:val="center"/>
          </w:tcPr>
          <w:p>
            <w:pPr>
              <w:pStyle w:val="36"/>
            </w:pPr>
            <w:r>
              <w:t>12.15</w:t>
            </w:r>
          </w:p>
        </w:tc>
        <w:tc>
          <w:tcPr>
            <w:tcW w:w="1659" w:type="dxa"/>
            <w:vAlign w:val="center"/>
          </w:tcPr>
          <w:p>
            <w:pPr>
              <w:pStyle w:val="3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63" w:type="dxa"/>
            <w:vAlign w:val="center"/>
          </w:tcPr>
          <w:p>
            <w:pPr>
              <w:pStyle w:val="36"/>
            </w:pPr>
            <w:r>
              <w:t>2000m-3000m</w:t>
            </w:r>
          </w:p>
        </w:tc>
        <w:tc>
          <w:tcPr>
            <w:tcW w:w="1659" w:type="dxa"/>
            <w:vAlign w:val="center"/>
          </w:tcPr>
          <w:p>
            <w:pPr>
              <w:pStyle w:val="36"/>
            </w:pPr>
            <w:r>
              <w:t>27.43</w:t>
            </w:r>
          </w:p>
        </w:tc>
        <w:tc>
          <w:tcPr>
            <w:tcW w:w="1659" w:type="dxa"/>
            <w:vAlign w:val="center"/>
          </w:tcPr>
          <w:p>
            <w:pPr>
              <w:pStyle w:val="36"/>
            </w:pPr>
            <w:r>
              <w:t>12.43</w:t>
            </w:r>
          </w:p>
        </w:tc>
        <w:tc>
          <w:tcPr>
            <w:tcW w:w="1659" w:type="dxa"/>
            <w:vAlign w:val="center"/>
          </w:tcPr>
          <w:p>
            <w:pPr>
              <w:pStyle w:val="3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63" w:type="dxa"/>
            <w:vAlign w:val="center"/>
          </w:tcPr>
          <w:p>
            <w:pPr>
              <w:pStyle w:val="36"/>
            </w:pPr>
            <w:r>
              <w:t>3000m-4000m</w:t>
            </w:r>
          </w:p>
        </w:tc>
        <w:tc>
          <w:tcPr>
            <w:tcW w:w="1659" w:type="dxa"/>
            <w:vAlign w:val="center"/>
          </w:tcPr>
          <w:p>
            <w:pPr>
              <w:pStyle w:val="36"/>
            </w:pPr>
            <w:r>
              <w:t>36.30</w:t>
            </w:r>
          </w:p>
        </w:tc>
        <w:tc>
          <w:tcPr>
            <w:tcW w:w="1659" w:type="dxa"/>
            <w:vAlign w:val="center"/>
          </w:tcPr>
          <w:p>
            <w:pPr>
              <w:pStyle w:val="36"/>
            </w:pPr>
            <w:r>
              <w:t>19.31</w:t>
            </w:r>
          </w:p>
        </w:tc>
        <w:tc>
          <w:tcPr>
            <w:tcW w:w="1659" w:type="dxa"/>
            <w:vAlign w:val="center"/>
          </w:tcPr>
          <w:p>
            <w:pPr>
              <w:pStyle w:val="3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63" w:type="dxa"/>
            <w:vAlign w:val="center"/>
          </w:tcPr>
          <w:p>
            <w:pPr>
              <w:pStyle w:val="36"/>
            </w:pPr>
            <w:r>
              <w:t>4000m-7000m以深</w:t>
            </w:r>
          </w:p>
        </w:tc>
        <w:tc>
          <w:tcPr>
            <w:tcW w:w="1659" w:type="dxa"/>
            <w:vAlign w:val="center"/>
          </w:tcPr>
          <w:p>
            <w:pPr>
              <w:pStyle w:val="36"/>
            </w:pPr>
            <w:r>
              <w:t>101.15</w:t>
            </w:r>
          </w:p>
        </w:tc>
        <w:tc>
          <w:tcPr>
            <w:tcW w:w="1659" w:type="dxa"/>
            <w:vAlign w:val="center"/>
          </w:tcPr>
          <w:p>
            <w:pPr>
              <w:pStyle w:val="36"/>
            </w:pPr>
            <w:r>
              <w:t>53.95</w:t>
            </w:r>
          </w:p>
        </w:tc>
        <w:tc>
          <w:tcPr>
            <w:tcW w:w="1659" w:type="dxa"/>
            <w:vAlign w:val="center"/>
          </w:tcPr>
          <w:p>
            <w:pPr>
              <w:pStyle w:val="36"/>
            </w:pPr>
            <w:r>
              <w:rPr>
                <w:rFonts w:hint="eastAsia"/>
              </w:rPr>
              <w:t>暂</w:t>
            </w:r>
            <w:r>
              <w:t>难利用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63" w:type="dxa"/>
            <w:vAlign w:val="center"/>
          </w:tcPr>
          <w:p>
            <w:pPr>
              <w:pStyle w:val="36"/>
            </w:pPr>
            <w:r>
              <w:rPr>
                <w:rFonts w:hint="eastAsia"/>
              </w:rPr>
              <w:t>合计</w:t>
            </w:r>
          </w:p>
        </w:tc>
        <w:tc>
          <w:tcPr>
            <w:tcW w:w="1659" w:type="dxa"/>
            <w:vAlign w:val="center"/>
          </w:tcPr>
          <w:p>
            <w:pPr>
              <w:pStyle w:val="36"/>
            </w:pPr>
            <w:r>
              <w:t>188.30</w:t>
            </w:r>
          </w:p>
        </w:tc>
        <w:tc>
          <w:tcPr>
            <w:tcW w:w="1659" w:type="dxa"/>
            <w:vAlign w:val="center"/>
          </w:tcPr>
          <w:p>
            <w:pPr>
              <w:pStyle w:val="36"/>
            </w:pPr>
          </w:p>
        </w:tc>
        <w:tc>
          <w:tcPr>
            <w:tcW w:w="1659" w:type="dxa"/>
            <w:vAlign w:val="center"/>
          </w:tcPr>
          <w:p>
            <w:pPr>
              <w:pStyle w:val="36"/>
            </w:pPr>
          </w:p>
        </w:tc>
      </w:tr>
    </w:tbl>
    <w:p>
      <w:pPr>
        <w:pStyle w:val="128"/>
      </w:pPr>
    </w:p>
    <w:p>
      <w:pPr>
        <w:pStyle w:val="128"/>
      </w:pPr>
      <w:r>
        <w:rPr>
          <w:rFonts w:hint="eastAsia"/>
        </w:rPr>
        <w:t>根据《陕西省渭南市区地热资源评价报告》资料，在固市凹陷仅渭南市区200km</w:t>
      </w:r>
      <w:r>
        <w:rPr>
          <w:rFonts w:hint="eastAsia"/>
          <w:vertAlign w:val="superscript"/>
        </w:rPr>
        <w:t>2</w:t>
      </w:r>
      <w:r>
        <w:rPr>
          <w:rFonts w:hint="eastAsia"/>
        </w:rPr>
        <w:t>范围内具有形成1120×10</w:t>
      </w:r>
      <w:r>
        <w:rPr>
          <w:rFonts w:hint="eastAsia"/>
          <w:vertAlign w:val="superscript"/>
        </w:rPr>
        <w:t>8</w:t>
      </w:r>
      <w:r>
        <w:rPr>
          <w:rFonts w:hint="eastAsia"/>
        </w:rPr>
        <w:t>m</w:t>
      </w:r>
      <w:r>
        <w:rPr>
          <w:rFonts w:hint="eastAsia"/>
          <w:vertAlign w:val="superscript"/>
        </w:rPr>
        <w:t>3</w:t>
      </w:r>
      <w:r>
        <w:rPr>
          <w:rFonts w:hint="eastAsia"/>
        </w:rPr>
        <w:t>水溶气和909.5×10</w:t>
      </w:r>
      <w:r>
        <w:rPr>
          <w:rFonts w:hint="eastAsia"/>
          <w:vertAlign w:val="superscript"/>
        </w:rPr>
        <w:t>8</w:t>
      </w:r>
      <w:r>
        <w:rPr>
          <w:rFonts w:hint="eastAsia"/>
        </w:rPr>
        <w:t>m</w:t>
      </w:r>
      <w:r>
        <w:rPr>
          <w:rFonts w:hint="eastAsia"/>
          <w:vertAlign w:val="superscript"/>
        </w:rPr>
        <w:t>3</w:t>
      </w:r>
      <w:r>
        <w:rPr>
          <w:rFonts w:hint="eastAsia"/>
        </w:rPr>
        <w:t>可燃气的储量潜能。而且，水溶气体样品分析测试表明，固市凹陷地带地热流体伴生气体中，可燃气体所占比例高，全烃含量高达51.1%，甲烷含量高达49.52%，已大大超过地热流体水溶可燃天然气工业标准（30%）。</w:t>
      </w:r>
    </w:p>
    <w:p>
      <w:pPr>
        <w:pStyle w:val="128"/>
      </w:pPr>
      <w:r>
        <w:rPr>
          <w:rFonts w:hint="eastAsia"/>
        </w:rPr>
        <w:t>根据资料分析，渭河盆地地热水水溶氦气成分和He同位素研究了氦气的成因与来源。分析结果表明，渭河盆地地热水水溶氦气体积分数普遍超过0.1%，最高达到</w:t>
      </w:r>
      <w:r>
        <w:t>4.14</w:t>
      </w:r>
      <w:r>
        <w:rPr>
          <w:rFonts w:hint="eastAsia"/>
        </w:rPr>
        <w:t>%，</w:t>
      </w:r>
      <w:r>
        <w:rPr>
          <w:rFonts w:hint="eastAsia" w:ascii="仿宋_GB2312" w:hAnsi="宋体" w:cs="宋体"/>
          <w:szCs w:val="32"/>
        </w:rPr>
        <w:t>其数据超过了工业氦气藏的最低含量，比四川氦气开采层高50倍，</w:t>
      </w:r>
      <w:r>
        <w:rPr>
          <w:rFonts w:ascii="仿宋_GB2312" w:hAnsi="宋体" w:cs="宋体"/>
          <w:szCs w:val="32"/>
        </w:rPr>
        <w:t>氦气作为一种</w:t>
      </w:r>
      <w:r>
        <w:rPr>
          <w:rFonts w:hint="eastAsia" w:ascii="仿宋_GB2312" w:hAnsi="宋体" w:cs="宋体"/>
          <w:szCs w:val="32"/>
        </w:rPr>
        <w:t>极其</w:t>
      </w:r>
      <w:r>
        <w:rPr>
          <w:rFonts w:ascii="仿宋_GB2312" w:hAnsi="宋体" w:cs="宋体"/>
          <w:szCs w:val="32"/>
        </w:rPr>
        <w:t>重要</w:t>
      </w:r>
      <w:r>
        <w:rPr>
          <w:rFonts w:hint="eastAsia" w:ascii="仿宋_GB2312" w:hAnsi="宋体" w:cs="宋体"/>
          <w:szCs w:val="32"/>
        </w:rPr>
        <w:t>的</w:t>
      </w:r>
      <w:r>
        <w:rPr>
          <w:rFonts w:ascii="仿宋_GB2312" w:hAnsi="宋体" w:cs="宋体"/>
          <w:szCs w:val="32"/>
        </w:rPr>
        <w:t>战略资源，储量大，开采条件好</w:t>
      </w:r>
      <w:r>
        <w:rPr>
          <w:rFonts w:hint="eastAsia" w:ascii="仿宋_GB2312" w:hAnsi="宋体" w:cs="宋体"/>
          <w:szCs w:val="32"/>
        </w:rPr>
        <w:t>，</w:t>
      </w:r>
      <w:r>
        <w:rPr>
          <w:rFonts w:ascii="仿宋_GB2312" w:hAnsi="宋体" w:cs="宋体"/>
          <w:szCs w:val="32"/>
        </w:rPr>
        <w:t>开发利用前景广阔。</w:t>
      </w:r>
      <w:r>
        <w:rPr>
          <w:rFonts w:hint="eastAsia" w:ascii="仿宋_GB2312" w:hAnsi="宋体" w:cs="宋体"/>
          <w:szCs w:val="32"/>
        </w:rPr>
        <w:t>根据</w:t>
      </w:r>
      <w:r>
        <w:rPr>
          <w:rFonts w:hint="eastAsia"/>
        </w:rPr>
        <w:t>地质资料分析表明，富铀花岗岩放射性成因的氦气是渭河盆地地热水水溶氦气的主要来源，大面积出露于秦岭造山带以及隐伏于渭河盆地南缘新生代沉积层下的富铀花岗岩体为渭河盆地地热水水溶氦气的主要气源岩。</w:t>
      </w:r>
    </w:p>
    <w:p>
      <w:pPr>
        <w:pStyle w:val="128"/>
      </w:pPr>
      <w:r>
        <w:rPr>
          <w:rFonts w:hint="eastAsia"/>
        </w:rPr>
        <w:t>（5）风能</w:t>
      </w:r>
      <w:r>
        <w:t>资源</w:t>
      </w:r>
    </w:p>
    <w:p>
      <w:pPr>
        <w:pStyle w:val="128"/>
      </w:pPr>
      <w:r>
        <w:rPr>
          <w:rFonts w:hint="eastAsia"/>
        </w:rPr>
        <w:t>渭南市80m高度平均风速分布和风功率密度分布见图3.10。由图中可以看出，渭南市风能资源总的地域分布是南部最优，其次是北部和中东部。风能资源较丰富区主要分布在其南部秦岭高山区、黄河小北干流沿岸区域（“小北干流”就是指龙门（禹门口）至潼关河段）以及渭北地区，多处于无遮挡区或风口。渭南南部秦岭高山地区虽然风能资源丰富，但地形条件十分复杂，植被茂密，且大多为自然保护区，不宜开发建设。渭北地区海拔明显高于其南部的关中盆地，黄河小北干流沿岸区域处于关中盆地东西向喇叭口开口处，地势开阔平坦，特殊的地形造成风能资源大于其它地区。因此，渭南市风能资源可利用区主要集中在渭北和黄河小北干流沿岸地区。具体而言，渭南市风能资源可开发利用区域主要分布在韩城市北部丘陵区、潼关黄河沿岸地区，富平县北部山区，白水、澄城、合阳、大荔等县的局部区域。</w:t>
      </w:r>
    </w:p>
    <w:p>
      <w:pPr>
        <w:pStyle w:val="128"/>
        <w:rPr>
          <w:highlight w:val="yellow"/>
        </w:rPr>
      </w:pPr>
      <w:r>
        <w:rPr>
          <w:rFonts w:hint="eastAsia"/>
        </w:rPr>
        <w:t>结合风资源评估结果和实测风速数据，渭南市可开发风电场区域80m高度年平均风速约为5.0m/s～6.0m/s，平均风功率密度约为140W/m</w:t>
      </w:r>
      <w:r>
        <w:rPr>
          <w:rFonts w:hint="eastAsia"/>
          <w:vertAlign w:val="superscript"/>
        </w:rPr>
        <w:t>2</w:t>
      </w:r>
      <w:r>
        <w:rPr>
          <w:rFonts w:hint="eastAsia"/>
        </w:rPr>
        <w:t>～250W/m</w:t>
      </w:r>
      <w:r>
        <w:rPr>
          <w:rFonts w:hint="eastAsia"/>
          <w:vertAlign w:val="superscript"/>
        </w:rPr>
        <w:t>2</w:t>
      </w:r>
      <w:r>
        <w:rPr>
          <w:rFonts w:hint="eastAsia"/>
        </w:rPr>
        <w:t>，风功率密度等级为1级，为低风速风电开发区域。</w:t>
      </w:r>
    </w:p>
    <w:p>
      <w:pPr>
        <w:jc w:val="center"/>
        <w:rPr>
          <w:rFonts w:asciiTheme="minorEastAsia" w:hAnsiTheme="minorEastAsia"/>
        </w:rPr>
      </w:pPr>
      <w:r>
        <w:rPr>
          <w:rFonts w:asciiTheme="minorEastAsia" w:hAnsiTheme="minorEastAsia"/>
        </w:rPr>
        <w:drawing>
          <wp:inline distT="0" distB="0" distL="0" distR="0">
            <wp:extent cx="2580005" cy="2627630"/>
            <wp:effectExtent l="0" t="0" r="10795" b="1270"/>
            <wp:docPr id="243" name="图片 10" descr="渭南市风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0" descr="渭南市风速.JPG"/>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80550" cy="2628000"/>
                    </a:xfrm>
                    <a:prstGeom prst="rect">
                      <a:avLst/>
                    </a:prstGeom>
                  </pic:spPr>
                </pic:pic>
              </a:graphicData>
            </a:graphic>
          </wp:inline>
        </w:drawing>
      </w:r>
      <w:r>
        <w:rPr>
          <w:rFonts w:asciiTheme="minorEastAsia" w:hAnsiTheme="minorEastAsia"/>
        </w:rPr>
        <w:drawing>
          <wp:inline distT="0" distB="0" distL="0" distR="0">
            <wp:extent cx="2505075" cy="2627630"/>
            <wp:effectExtent l="0" t="0" r="0" b="0"/>
            <wp:docPr id="244" name="图片 11" descr="渭南市风功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1" descr="渭南市风功率.JPG"/>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05254" cy="2628000"/>
                    </a:xfrm>
                    <a:prstGeom prst="rect">
                      <a:avLst/>
                    </a:prstGeom>
                  </pic:spPr>
                </pic:pic>
              </a:graphicData>
            </a:graphic>
          </wp:inline>
        </w:drawing>
      </w:r>
    </w:p>
    <w:p>
      <w:pPr>
        <w:pStyle w:val="137"/>
        <w:numPr>
          <w:ilvl w:val="0"/>
          <w:numId w:val="7"/>
        </w:numPr>
      </w:pPr>
      <w:r>
        <w:t>渭南市80m高度风速</w:t>
      </w:r>
      <w:r>
        <w:rPr>
          <w:rFonts w:hint="eastAsia"/>
        </w:rPr>
        <w:t>和风功率</w:t>
      </w:r>
      <w:r>
        <w:t>密度分布图</w:t>
      </w:r>
    </w:p>
    <w:p>
      <w:pPr>
        <w:pStyle w:val="128"/>
      </w:pPr>
      <w:r>
        <w:rPr>
          <w:rFonts w:hint="eastAsia"/>
        </w:rPr>
        <w:t>（6）生物质</w:t>
      </w:r>
      <w:r>
        <w:t>能</w:t>
      </w:r>
    </w:p>
    <w:p>
      <w:pPr>
        <w:pStyle w:val="128"/>
      </w:pPr>
      <w:r>
        <w:rPr>
          <w:rFonts w:hint="eastAsia"/>
        </w:rPr>
        <w:t>渭南市国土总面积13134km</w:t>
      </w:r>
      <w:r>
        <w:rPr>
          <w:vertAlign w:val="superscript"/>
        </w:rPr>
        <w:t>2</w:t>
      </w:r>
      <w:r>
        <w:rPr>
          <w:rFonts w:hint="eastAsia"/>
        </w:rPr>
        <w:t>，中部地势平坦，土壤肥沃，是陕西省农业生产和经济发展的重点地区。农林作物87种，尤以小麦、玉米、棉花、苹果、酥梨、蔬菜、花椒、柿子、红枣、核桃等农产品质优量大，2015全市粮食作物播种面积766.16万亩，总产量217.26万吨；园林水果面积287.5万亩，总产量310.56万吨；蔬菜种植面积121.19万亩，总产253.23万吨；夏粮种植面积436.72万亩，总产114.82万吨；秋粮种植面积329.43万亩，总产102.44万吨。生物质能资源较为丰富。</w:t>
      </w:r>
    </w:p>
    <w:p>
      <w:pPr>
        <w:pStyle w:val="128"/>
      </w:pPr>
      <w:r>
        <w:rPr>
          <w:rFonts w:hint="eastAsia"/>
        </w:rPr>
        <w:t>可收集利用的生物质能资源主要种类如下：</w:t>
      </w:r>
    </w:p>
    <w:p>
      <w:pPr>
        <w:pStyle w:val="128"/>
      </w:pPr>
      <w:r>
        <w:rPr>
          <w:rFonts w:hint="eastAsia"/>
        </w:rPr>
        <w:t>农作物秸秆：主要有小麦、玉米、谷子、棉花、油菜、油葵等作物秸秆，总产量约600万吨。其中可规模利用的秸杆约370万吨。</w:t>
      </w:r>
    </w:p>
    <w:p>
      <w:pPr>
        <w:pStyle w:val="128"/>
      </w:pPr>
      <w:r>
        <w:rPr>
          <w:rFonts w:hint="eastAsia"/>
        </w:rPr>
        <w:t>畜禽粪便：现有养殖场、养殖小区约80个，加上农户散养，年产畜禽粪便总量约600万吨，其中可规模利用的畜禽粪便总量约490万吨。</w:t>
      </w:r>
    </w:p>
    <w:p>
      <w:pPr>
        <w:pStyle w:val="128"/>
      </w:pPr>
      <w:r>
        <w:rPr>
          <w:rFonts w:hint="eastAsia"/>
        </w:rPr>
        <w:t>能源作物类：主要是薯类，储量比较丰富，主要集中在渭北。年总产量约70万吨，其中可利用量为30万吨。</w:t>
      </w:r>
    </w:p>
    <w:p>
      <w:pPr>
        <w:pStyle w:val="128"/>
      </w:pPr>
      <w:r>
        <w:rPr>
          <w:rFonts w:hint="eastAsia"/>
        </w:rPr>
        <w:t>林业废弃物：林地总面积820亿亩，抚育期伐剩余物、经济林修剪枝条、薪炭林平茬等常年总量约120万吨，可利用总量约50万吨。</w:t>
      </w:r>
    </w:p>
    <w:p>
      <w:pPr>
        <w:pStyle w:val="128"/>
      </w:pPr>
      <w:r>
        <w:rPr>
          <w:rFonts w:hint="eastAsia"/>
        </w:rPr>
        <w:t>木本油料能源林：主要有黄连木、文冠果、油桐、漆树、乌桕、花椒、油茶等树种，遍布全省，集中分布渭北地区，总面积约51万亩、年产果实总量约2.7万吨，可收集利用量在50％以上。现有160余万亩宜林地和荒山荒坡，尚有很大发展潜力。</w:t>
      </w:r>
    </w:p>
    <w:p>
      <w:pPr>
        <w:pStyle w:val="125"/>
      </w:pPr>
      <w:bookmarkStart w:id="26" w:name="_Toc29863"/>
      <w:r>
        <w:rPr>
          <w:rFonts w:hint="eastAsia"/>
        </w:rPr>
        <w:t>电网条件</w:t>
      </w:r>
      <w:bookmarkEnd w:id="26"/>
    </w:p>
    <w:p>
      <w:pPr>
        <w:pStyle w:val="126"/>
      </w:pPr>
      <w:r>
        <w:rPr>
          <w:rFonts w:hint="eastAsia"/>
        </w:rPr>
        <w:t>电力系统</w:t>
      </w:r>
      <w:r>
        <w:t>现状</w:t>
      </w:r>
    </w:p>
    <w:p>
      <w:pPr>
        <w:pStyle w:val="127"/>
      </w:pPr>
      <w:r>
        <w:rPr>
          <w:rFonts w:hint="eastAsia"/>
        </w:rPr>
        <w:t>陕西电网</w:t>
      </w:r>
    </w:p>
    <w:p>
      <w:pPr>
        <w:pStyle w:val="128"/>
      </w:pPr>
      <w:r>
        <w:rPr>
          <w:rFonts w:hint="eastAsia"/>
        </w:rPr>
        <w:t>陕西电网位于西北电网东部，是西北电网的重要组成部分，是一个水火并济以火电为主的电网。火电主要分布在关中，水电在陕南，陕西电网最高电压等级为750kV，主网电压等级为330kV。目前，陕西电网已经初步形成750kV骨干网架，在形成关中双回路“一”字型网架的基础上，延伸至陕北延安、榆林地区；330kV主网架供电范围已覆盖陕南的安康、汉中、商洛，陕北的延安、榆林，关中的西安、咸阳、宝鸡、渭南、铜川等绝大部分地区；其中关中电网形成多个330kV环网结构，是陕西电网的核心，通过两回330kV线路延伸至陕北神府地区，通过硖汉三回、南柞双回和罗-张线共六回线路扩展到陕南的汉中、安康、商洛地区。此外，陕西电网与甘肃电网以两回750kV和四回330kV线路联络；通过信义和罗敷～灵宝直流背靠背、宝鸡～德阳±500kV直流与四川电网和华中电网异步联网。</w:t>
      </w:r>
    </w:p>
    <w:p>
      <w:pPr>
        <w:pStyle w:val="128"/>
      </w:pPr>
      <w:r>
        <w:rPr>
          <w:rFonts w:hint="eastAsia"/>
        </w:rPr>
        <w:t>截至2015年底，陕西全口径装机容量33890MW，其中水电2660MW、火电29360MW，风电1140MW、光伏720MW，所占比例分别为7.86%、86.65%、3.36%、2.13%。</w:t>
      </w:r>
    </w:p>
    <w:p>
      <w:pPr>
        <w:pStyle w:val="128"/>
      </w:pPr>
      <w:r>
        <w:rPr>
          <w:rFonts w:hint="eastAsia"/>
        </w:rPr>
        <w:t>2015年陕西省全社会用电量达到1220亿kWh，较上年减少3.48%，最高发电负荷21810MW，较上年增长7.70%。</w:t>
      </w:r>
    </w:p>
    <w:p>
      <w:pPr>
        <w:pStyle w:val="128"/>
      </w:pPr>
      <w:r>
        <w:rPr>
          <w:rFonts w:hint="eastAsia"/>
        </w:rPr>
        <w:t>截至2015年底，陕西网内已建成750kV线路17条，其中陕西境内长度1870.076km；±500KV直流线路一条，陕西境内长度294.0km；330kV线路185条，陕西境内总长度约8340.437km。全网共有750kV变电站5座，主变8台，总容量16800MVA；330kV降压变电所54座，主变122台，总容量30220MVA。</w:t>
      </w:r>
    </w:p>
    <w:p>
      <w:pPr>
        <w:pStyle w:val="127"/>
      </w:pPr>
      <w:r>
        <w:rPr>
          <w:rFonts w:hint="eastAsia"/>
        </w:rPr>
        <w:t>渭南电网</w:t>
      </w:r>
    </w:p>
    <w:p>
      <w:pPr>
        <w:pStyle w:val="128"/>
      </w:pPr>
      <w:r>
        <w:rPr>
          <w:rFonts w:hint="eastAsia"/>
        </w:rPr>
        <w:t>截至2015年底，渭南电网总装机容量7548.71MW</w:t>
      </w:r>
      <w:r>
        <w:rPr>
          <w:rFonts w:hint="eastAsia"/>
          <w:lang w:eastAsia="zh-CN"/>
        </w:rPr>
        <w:t>。其中，</w:t>
      </w:r>
      <w:r>
        <w:rPr>
          <w:rFonts w:hint="eastAsia"/>
        </w:rPr>
        <w:t>火电装机容量7234MW，占总装机容量的95.8%，水电装机容量28.21MW，占总装机容量的0.4%，光伏装机容量191MW，占总装机容量的2.5%，其他电源装机容量95.5MW，占总装机容量的1.3%。</w:t>
      </w:r>
    </w:p>
    <w:p>
      <w:pPr>
        <w:pStyle w:val="128"/>
      </w:pPr>
      <w:r>
        <w:rPr>
          <w:rFonts w:hint="eastAsia"/>
        </w:rPr>
        <w:t>截至2015年底，渭南电网750kV变电站1座，主变2台，总容量4200MVA；330kV变电站12座，主变32台，总容量4222MVA；110kV变电站103座，主变210台，总容量7659.5MVA；35kV变电站80座，主变162台，总容量1239.15MVA。</w:t>
      </w:r>
    </w:p>
    <w:p>
      <w:pPr>
        <w:pStyle w:val="128"/>
      </w:pPr>
      <w:r>
        <w:rPr>
          <w:rFonts w:hint="eastAsia"/>
        </w:rPr>
        <w:t>截至2015年底，渭南电网750kV线路5条，长度416.764km；330kV线路49条，总长度1997.668km；110kV线路188条，总长度2660.901km；35kV线路203条，总长度1701.659km。</w:t>
      </w:r>
    </w:p>
    <w:p>
      <w:pPr>
        <w:pStyle w:val="126"/>
      </w:pPr>
      <w:bookmarkStart w:id="27" w:name="_Toc463775259"/>
      <w:r>
        <w:rPr>
          <w:rFonts w:hint="eastAsia"/>
        </w:rPr>
        <w:t>电力发展规划</w:t>
      </w:r>
      <w:bookmarkEnd w:id="27"/>
    </w:p>
    <w:p>
      <w:pPr>
        <w:pStyle w:val="127"/>
      </w:pPr>
      <w:r>
        <w:rPr>
          <w:rFonts w:hint="eastAsia"/>
        </w:rPr>
        <w:t>陕西电网</w:t>
      </w:r>
    </w:p>
    <w:p>
      <w:pPr>
        <w:pStyle w:val="128"/>
      </w:pPr>
      <w:r>
        <w:t>目前，陕北建成洛川、榆横750kV变电所，陕北与关中电网形成两回750kV和两回330kV联络线路。同时为支持关中大气污染防治行动计划，陕西调整电源布局，陕北将建成以火电、风电、光伏为主的能源基地，形成</w:t>
      </w:r>
      <w:r>
        <w:rPr>
          <w:rFonts w:hint="eastAsia"/>
        </w:rPr>
        <w:t>“</w:t>
      </w:r>
      <w:r>
        <w:t>北电南送</w:t>
      </w:r>
      <w:r>
        <w:rPr>
          <w:rFonts w:hint="eastAsia"/>
        </w:rPr>
        <w:t>”</w:t>
      </w:r>
      <w:r>
        <w:t>电力格局。</w:t>
      </w:r>
    </w:p>
    <w:p>
      <w:pPr>
        <w:pStyle w:val="128"/>
      </w:pPr>
      <w:r>
        <w:t>2016年陕北扩建榆横750kV变第二台主变2100MVA。</w:t>
      </w:r>
    </w:p>
    <w:p>
      <w:pPr>
        <w:pStyle w:val="128"/>
      </w:pPr>
      <w:r>
        <w:t>为满足榆林定靖地区风电送出，提高陕北向关中电网送电能力，2017年建设定靖750kV变电站，建设榆横</w:t>
      </w:r>
      <w:r>
        <w:rPr>
          <w:rFonts w:hint="eastAsia"/>
        </w:rPr>
        <w:t>～</w:t>
      </w:r>
      <w:r>
        <w:t>定靖</w:t>
      </w:r>
      <w:r>
        <w:rPr>
          <w:rFonts w:hint="eastAsia"/>
        </w:rPr>
        <w:t>～</w:t>
      </w:r>
      <w:r>
        <w:t>富县</w:t>
      </w:r>
      <w:r>
        <w:rPr>
          <w:rFonts w:hint="eastAsia"/>
        </w:rPr>
        <w:t>～</w:t>
      </w:r>
      <w:r>
        <w:t>西安北双回750kV联络线路，即形成陕北至关中第二条750kV输电通道。</w:t>
      </w:r>
    </w:p>
    <w:p>
      <w:pPr>
        <w:pStyle w:val="128"/>
      </w:pPr>
      <w:r>
        <w:t>为满足榆林北部神木、府谷地区负荷发展需要，满足神木地区新能源发电电源汇集送出的需要，进一步组织地区330kV电网，规划2019年建设神木750kV变电站。</w:t>
      </w:r>
    </w:p>
    <w:p>
      <w:pPr>
        <w:pStyle w:val="128"/>
      </w:pPr>
      <w:r>
        <w:t>2020年，陕北将形成以定靖、榆横、神木、洛川四个750kV变电站及富县750kV开关站为汇集点，依托陕北至关中两个750kV输电通道，满足新形势下大规模火电、新能源的送出，并为陕北至江西特高压直流外送提供坚强的交流侧支撑。</w:t>
      </w:r>
    </w:p>
    <w:p>
      <w:pPr>
        <w:pStyle w:val="128"/>
      </w:pPr>
      <w:r>
        <w:t>关中750kV环网的建设主要取决于负荷水平、东西断面功率交换水平、东西断面送电能力、330kV电网短路电流及解环方案等。宝鸡～西安南～信义一回750kV线路目前在建，计划2015年建成，届时将形成关中750kV环网，可以提高关中电网供电可靠性、增强电网运行灵活性。“十三五”初期建成宝鸡～西安南～信义第二回750kV线路。</w:t>
      </w:r>
    </w:p>
    <w:p>
      <w:pPr>
        <w:pStyle w:val="128"/>
      </w:pPr>
      <w:r>
        <w:t>为满足关中电网供电需求，2016年扩建西安南第三台主变，解决西安南部负荷供电问题；2017年建成西安北750kV变电站，满足西安北部、铜川电网供电需求。</w:t>
      </w:r>
    </w:p>
    <w:p>
      <w:pPr>
        <w:pStyle w:val="128"/>
      </w:pPr>
      <w:r>
        <w:t>750kV电网是否深入陕南地区，与陕南负荷水平、供电可靠性，关中电网转供能力，陕南及相邻电网内火电电源建设息息相关。应根据相关情况，及时开展陕南750kV电网的研究工作。考虑陕南及相邻电网布点火电如期投产、电网运行方式进一步优化的情况下，暂不考虑</w:t>
      </w:r>
      <w:r>
        <w:rPr>
          <w:rFonts w:hint="eastAsia"/>
        </w:rPr>
        <w:t>“</w:t>
      </w:r>
      <w:r>
        <w:t>十三五</w:t>
      </w:r>
      <w:r>
        <w:rPr>
          <w:rFonts w:hint="eastAsia"/>
        </w:rPr>
        <w:t>”</w:t>
      </w:r>
      <w:r>
        <w:t>期间750kV电网深入陕南地区。2020年，关中将以乾县、西安北、信义、西安南、宝鸡五座750kV变电站构成双回环网支撑关中、陕南供电。</w:t>
      </w:r>
    </w:p>
    <w:p>
      <w:pPr>
        <w:pStyle w:val="128"/>
      </w:pPr>
      <w:r>
        <w:t>2020年，陕西省内750kV电网形成</w:t>
      </w:r>
      <w:r>
        <w:rPr>
          <w:rFonts w:hint="eastAsia"/>
        </w:rPr>
        <w:t>“</w:t>
      </w:r>
      <w:r>
        <w:t>两纵一环网</w:t>
      </w:r>
      <w:r>
        <w:rPr>
          <w:rFonts w:hint="eastAsia"/>
        </w:rPr>
        <w:t>”</w:t>
      </w:r>
      <w:r>
        <w:t>的主网架结构，为330kV电网提供坚强的支撑。750kV电网覆盖关中及陕北，满足关中及陕南负荷中心用电需求，满足大规模火电、新能源的汇集送出需求，促进陕北能源资源在全省范围内的优化配置</w:t>
      </w:r>
    </w:p>
    <w:p>
      <w:pPr>
        <w:pStyle w:val="127"/>
      </w:pPr>
      <w:r>
        <w:rPr>
          <w:rFonts w:hint="eastAsia"/>
        </w:rPr>
        <w:t>渭南电网</w:t>
      </w:r>
    </w:p>
    <w:p>
      <w:pPr>
        <w:pStyle w:val="128"/>
      </w:pPr>
      <w:r>
        <w:rPr>
          <w:rFonts w:hint="eastAsia"/>
        </w:rPr>
        <w:t>“</w:t>
      </w:r>
      <w:r>
        <w:t>十三五</w:t>
      </w:r>
      <w:r>
        <w:rPr>
          <w:rFonts w:hint="eastAsia"/>
        </w:rPr>
        <w:t>”</w:t>
      </w:r>
      <w:r>
        <w:t>期间渭南地区110kV电网新建变电站7座：中心变、贾曲变、重阳变、卤西、宣化变、华园变、华阴东。改造110kV变电站6座：双塔变、港口变、龙阳变、下寨变、金堆变、毕家变。新增变压器14台，新增变电容量833</w:t>
      </w:r>
      <w:r>
        <w:rPr>
          <w:rFonts w:hint="eastAsia"/>
        </w:rPr>
        <w:t>MVA</w:t>
      </w:r>
      <w:r>
        <w:t>。新建110kV线路41条，新增线路长度404.9</w:t>
      </w:r>
      <w:r>
        <w:rPr>
          <w:rFonts w:hint="eastAsia"/>
        </w:rPr>
        <w:t>km</w:t>
      </w:r>
      <w:r>
        <w:t>，其中电缆线路长度7.2</w:t>
      </w:r>
      <w:r>
        <w:rPr>
          <w:rFonts w:hint="eastAsia"/>
        </w:rPr>
        <w:t>km</w:t>
      </w:r>
      <w:r>
        <w:t>，平均单条线路长度10.38</w:t>
      </w:r>
      <w:r>
        <w:rPr>
          <w:rFonts w:hint="eastAsia"/>
        </w:rPr>
        <w:t>km</w:t>
      </w:r>
      <w:r>
        <w:t>，改造110kV线路31</w:t>
      </w:r>
      <w:r>
        <w:rPr>
          <w:rFonts w:hint="eastAsia"/>
        </w:rPr>
        <w:t>km。</w:t>
      </w:r>
    </w:p>
    <w:p>
      <w:pPr>
        <w:pStyle w:val="128"/>
      </w:pPr>
      <w:r>
        <w:rPr>
          <w:rFonts w:hint="eastAsia"/>
        </w:rPr>
        <w:t>“</w:t>
      </w:r>
      <w:r>
        <w:t>十三五</w:t>
      </w:r>
      <w:r>
        <w:rPr>
          <w:rFonts w:hint="eastAsia"/>
        </w:rPr>
        <w:t>”</w:t>
      </w:r>
      <w:r>
        <w:t>期间</w:t>
      </w:r>
      <w:r>
        <w:rPr>
          <w:rFonts w:hint="eastAsia"/>
        </w:rPr>
        <w:t>，</w:t>
      </w:r>
      <w:r>
        <w:t>渭南地区</w:t>
      </w:r>
      <w:r>
        <w:rPr>
          <w:rFonts w:hint="eastAsia"/>
        </w:rPr>
        <w:t>新建35kV变电站1座（薛峰变），主变2台，变电容量10MVA。增容改造35kV变电站5座：下吉、孝义、官道、翔村、高阳，新增变电容量58.4MVA。新建35kV架空线路29km，改造35kV线路改造13km。</w:t>
      </w:r>
    </w:p>
    <w:p>
      <w:pPr>
        <w:pStyle w:val="128"/>
      </w:pPr>
      <w:r>
        <w:rPr>
          <w:rFonts w:hint="eastAsia"/>
        </w:rPr>
        <w:t>“</w:t>
      </w:r>
      <w:r>
        <w:t>十三五</w:t>
      </w:r>
      <w:r>
        <w:rPr>
          <w:rFonts w:hint="eastAsia"/>
        </w:rPr>
        <w:t>”</w:t>
      </w:r>
      <w:r>
        <w:t>期间</w:t>
      </w:r>
      <w:r>
        <w:rPr>
          <w:rFonts w:hint="eastAsia"/>
        </w:rPr>
        <w:t>，</w:t>
      </w:r>
      <w:r>
        <w:t>渭南地区</w:t>
      </w:r>
      <w:r>
        <w:rPr>
          <w:rFonts w:hint="eastAsia"/>
        </w:rPr>
        <w:t>新增</w:t>
      </w:r>
      <w:r>
        <w:t>10kV</w:t>
      </w:r>
      <w:r>
        <w:rPr>
          <w:rFonts w:hint="eastAsia"/>
        </w:rPr>
        <w:t>配变1225台，容量352.55</w:t>
      </w:r>
      <w:r>
        <w:t>MVA</w:t>
      </w:r>
      <w:r>
        <w:rPr>
          <w:rFonts w:hint="eastAsia"/>
        </w:rPr>
        <w:t>。改造</w:t>
      </w:r>
      <w:r>
        <w:t>10kV</w:t>
      </w:r>
      <w:r>
        <w:rPr>
          <w:rFonts w:hint="eastAsia"/>
        </w:rPr>
        <w:t>配变1396台，改造容量164.59</w:t>
      </w:r>
      <w:r>
        <w:t>MVA</w:t>
      </w:r>
      <w:r>
        <w:rPr>
          <w:rFonts w:hint="eastAsia"/>
        </w:rPr>
        <w:t>，净增容量195.485</w:t>
      </w:r>
      <w:r>
        <w:t>MVA</w:t>
      </w:r>
      <w:r>
        <w:rPr>
          <w:rFonts w:hint="eastAsia"/>
        </w:rPr>
        <w:t>。新建线路88条，架空线长360.6</w:t>
      </w:r>
      <w:r>
        <w:t>km</w:t>
      </w:r>
      <w:r>
        <w:rPr>
          <w:rFonts w:hint="eastAsia"/>
        </w:rPr>
        <w:t>，其中绝缘线路130.5km，电缆线路92.6</w:t>
      </w:r>
      <w:r>
        <w:t>km</w:t>
      </w:r>
      <w:r>
        <w:rPr>
          <w:rFonts w:hint="eastAsia"/>
        </w:rPr>
        <w:t>。改造线路102条，改造架空线路627.48km，其中绝缘线路360.48km，电缆线路2.38km。新增0.38kV架空线路150.5km，改造线路1354.84km。</w:t>
      </w:r>
    </w:p>
    <w:p>
      <w:pPr>
        <w:pStyle w:val="128"/>
      </w:pPr>
      <w:r>
        <w:rPr>
          <w:rFonts w:hint="eastAsia"/>
        </w:rPr>
        <w:t>综上，</w:t>
      </w:r>
      <w:r>
        <w:t>整个陕西电网系统</w:t>
      </w:r>
      <w:r>
        <w:rPr>
          <w:rFonts w:hint="eastAsia"/>
        </w:rPr>
        <w:t>和</w:t>
      </w:r>
      <w:r>
        <w:t>渭南地区网架系统</w:t>
      </w:r>
      <w:r>
        <w:rPr>
          <w:rFonts w:hint="eastAsia"/>
        </w:rPr>
        <w:t>完善可靠</w:t>
      </w:r>
      <w:r>
        <w:t>，电力电量负荷充足，具有较好的电力保障</w:t>
      </w:r>
      <w:r>
        <w:rPr>
          <w:rFonts w:hint="eastAsia"/>
        </w:rPr>
        <w:t>和</w:t>
      </w:r>
      <w:r>
        <w:t>接入条件，能够为渭南地区产业发展提供充足的电力供给</w:t>
      </w:r>
      <w:r>
        <w:rPr>
          <w:rFonts w:hint="eastAsia"/>
        </w:rPr>
        <w:t>，</w:t>
      </w:r>
      <w:r>
        <w:t>保障落户企业的安全</w:t>
      </w:r>
      <w:r>
        <w:rPr>
          <w:rFonts w:hint="eastAsia"/>
        </w:rPr>
        <w:t>生产</w:t>
      </w:r>
      <w:r>
        <w:t>。</w:t>
      </w:r>
    </w:p>
    <w:p>
      <w:pPr>
        <w:pStyle w:val="125"/>
      </w:pPr>
      <w:bookmarkStart w:id="28" w:name="_Toc11610"/>
      <w:r>
        <w:rPr>
          <w:rFonts w:hint="eastAsia"/>
        </w:rPr>
        <w:t>科技与人才优势</w:t>
      </w:r>
      <w:bookmarkEnd w:id="28"/>
    </w:p>
    <w:p>
      <w:pPr>
        <w:pStyle w:val="128"/>
      </w:pPr>
      <w:r>
        <w:t>陕西省是我国高等院校众多的省份之一。特别是陕西省省会西安市境内，集中分布了陕西省的大量高校，是陕西省的教育、文化中心。西安是中国高等院校和科研院所聚集的城市之一，在校学生人数仅次于北京、上海，居中国第三位，是中国高校密度和受高等教育人数最多的城市，是中国三大教育、科研中心之一。</w:t>
      </w:r>
      <w:r>
        <w:rPr>
          <w:rFonts w:hint="eastAsia"/>
        </w:rPr>
        <w:t>陕西省</w:t>
      </w:r>
      <w:r>
        <w:t>本科高校</w:t>
      </w:r>
      <w:r>
        <w:rPr>
          <w:rFonts w:hint="eastAsia"/>
        </w:rPr>
        <w:t>43所</w:t>
      </w:r>
      <w:r>
        <w:t>，</w:t>
      </w:r>
      <w:r>
        <w:rPr>
          <w:rFonts w:hint="eastAsia"/>
        </w:rPr>
        <w:t>其中</w:t>
      </w:r>
      <w:r>
        <w:t>全国重点大学</w:t>
      </w:r>
      <w:r>
        <w:rPr>
          <w:rFonts w:hint="eastAsia"/>
        </w:rPr>
        <w:t>13所</w:t>
      </w:r>
      <w:r>
        <w:t>，陕西省高水平建设大学</w:t>
      </w:r>
      <w:r>
        <w:rPr>
          <w:rFonts w:hint="eastAsia"/>
        </w:rPr>
        <w:t>12所</w:t>
      </w:r>
      <w:r>
        <w:t>，</w:t>
      </w:r>
      <w:r>
        <w:rPr>
          <w:rFonts w:hint="eastAsia"/>
        </w:rPr>
        <w:t>省属</w:t>
      </w:r>
      <w:r>
        <w:t>重点本科高校</w:t>
      </w:r>
      <w:r>
        <w:rPr>
          <w:rFonts w:hint="eastAsia"/>
        </w:rPr>
        <w:t>7所；专科</w:t>
      </w:r>
      <w:r>
        <w:t>高校</w:t>
      </w:r>
      <w:r>
        <w:rPr>
          <w:rFonts w:hint="eastAsia"/>
        </w:rPr>
        <w:t>38所</w:t>
      </w:r>
      <w:r>
        <w:t>，独立</w:t>
      </w:r>
      <w:r>
        <w:rPr>
          <w:rFonts w:hint="eastAsia"/>
        </w:rPr>
        <w:t>学院12所</w:t>
      </w:r>
      <w:r>
        <w:t>，民办高校</w:t>
      </w:r>
      <w:r>
        <w:rPr>
          <w:rFonts w:hint="eastAsia"/>
        </w:rPr>
        <w:t>18所。</w:t>
      </w:r>
    </w:p>
    <w:p>
      <w:pPr>
        <w:pStyle w:val="129"/>
      </w:pPr>
      <w:r>
        <w:drawing>
          <wp:inline distT="0" distB="0" distL="0" distR="0">
            <wp:extent cx="5039995" cy="2358390"/>
            <wp:effectExtent l="0" t="0" r="8255" b="3810"/>
            <wp:docPr id="9" name="图片 9" descr="C:\Users\12017\AppData\Roaming\Tencent\Users\497121372\QQ\WinTemp\RichOle\{([DMB0JY`]8S_[7P}X2WV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12017\AppData\Roaming\Tencent\Users\497121372\QQ\WinTemp\RichOle\{([DMB0JY`]8S_[7P}X2WV0.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040000" cy="2358759"/>
                    </a:xfrm>
                    <a:prstGeom prst="rect">
                      <a:avLst/>
                    </a:prstGeom>
                    <a:noFill/>
                    <a:ln>
                      <a:noFill/>
                    </a:ln>
                  </pic:spPr>
                </pic:pic>
              </a:graphicData>
            </a:graphic>
          </wp:inline>
        </w:drawing>
      </w:r>
    </w:p>
    <w:p>
      <w:pPr>
        <w:pStyle w:val="137"/>
        <w:numPr>
          <w:ilvl w:val="0"/>
          <w:numId w:val="7"/>
        </w:numPr>
      </w:pPr>
      <w:r>
        <w:rPr>
          <w:rFonts w:hint="eastAsia"/>
        </w:rPr>
        <w:t>陕西省高校</w:t>
      </w:r>
      <w:r>
        <w:t>林立</w:t>
      </w:r>
    </w:p>
    <w:p>
      <w:pPr>
        <w:pStyle w:val="128"/>
      </w:pPr>
      <w:r>
        <w:rPr>
          <w:rFonts w:hint="eastAsia"/>
        </w:rPr>
        <w:t>渭南市紧邻西安市，位于陕西省中心位置，西安市高校林立，能够为渭南市的科技技术发展提供强有力的人才保障。同时，渭南市拥有各类职业技术学校近300所，在校学生10万余人，每年培训输送各类技术人才和农民工86万人次，是全国十大职业培训基地之一，具有良好的科技与人才优势。</w:t>
      </w:r>
    </w:p>
    <w:p>
      <w:pPr>
        <w:pStyle w:val="125"/>
      </w:pPr>
      <w:bookmarkStart w:id="29" w:name="_Toc1422"/>
      <w:r>
        <w:rPr>
          <w:rFonts w:hint="eastAsia"/>
        </w:rPr>
        <w:t>产业成本优势</w:t>
      </w:r>
      <w:bookmarkEnd w:id="29"/>
    </w:p>
    <w:p>
      <w:pPr>
        <w:pStyle w:val="128"/>
      </w:pPr>
      <w:r>
        <w:rPr>
          <w:rFonts w:hint="eastAsia"/>
        </w:rPr>
        <w:t>渭南地处关中平原最为开阔的地带，土地资源非常丰富，可调整建设用地3万多亩，工业用地成本较低。黄河、渭河、洛河纵贯全境，可利用水资源26亿立方。秦岭、韩城、蒲城三大电厂总装机635万千瓦时，年发电282亿千瓦，向外输出电量占发电量的60%以上。在以人才和人力资源为支撑的今天，渭南又是发展劳动密集型企业最有优势的地方。渭南市有200多所职业院校，在校学生达10万多人，是全国十大职业培训基地之一，还有富余劳动力125万人。总之，渭南土地资源宽松、水资源富余、电力资源充足、煤层气资源丰富，劳动力密集等要素条件就成为投资成本低，收益最高的地区，是承接东南沿海地区产业转移和广大投资者创业、发展的最佳选择地。</w:t>
      </w:r>
    </w:p>
    <w:p>
      <w:pPr>
        <w:pStyle w:val="125"/>
      </w:pPr>
      <w:bookmarkStart w:id="30" w:name="_Toc7740"/>
      <w:r>
        <w:rPr>
          <w:rFonts w:hint="eastAsia"/>
        </w:rPr>
        <w:t>渭南市</w:t>
      </w:r>
      <w:r>
        <w:t>产业发展</w:t>
      </w:r>
      <w:r>
        <w:rPr>
          <w:rFonts w:hint="eastAsia"/>
        </w:rPr>
        <w:t>SWOT分析</w:t>
      </w:r>
      <w:bookmarkEnd w:id="30"/>
    </w:p>
    <w:p>
      <w:pPr>
        <w:pStyle w:val="128"/>
      </w:pPr>
      <w:r>
        <w:rPr>
          <w:rFonts w:hint="eastAsia"/>
        </w:rPr>
        <w:t>基于以上</w:t>
      </w:r>
      <w:r>
        <w:t>分析，对渭南市</w:t>
      </w:r>
      <w:r>
        <w:rPr>
          <w:rFonts w:hint="eastAsia"/>
        </w:rPr>
        <w:t>新能源</w:t>
      </w:r>
      <w:r>
        <w:t>新材料产业发展</w:t>
      </w:r>
      <w:r>
        <w:rPr>
          <w:rFonts w:hint="eastAsia"/>
        </w:rPr>
        <w:t>所</w:t>
      </w:r>
      <w:r>
        <w:t>具备的优势，</w:t>
      </w:r>
      <w:r>
        <w:rPr>
          <w:rFonts w:hint="eastAsia"/>
        </w:rPr>
        <w:t>存在</w:t>
      </w:r>
      <w:r>
        <w:t>的劣势，以及面临的</w:t>
      </w:r>
      <w:r>
        <w:rPr>
          <w:rFonts w:hint="eastAsia"/>
        </w:rPr>
        <w:t>机遇</w:t>
      </w:r>
      <w:r>
        <w:t>和</w:t>
      </w:r>
      <w:r>
        <w:rPr>
          <w:rFonts w:hint="eastAsia"/>
        </w:rPr>
        <w:t>挑战进行</w:t>
      </w:r>
      <w:r>
        <w:t>系统分析，提出</w:t>
      </w:r>
      <w:r>
        <w:rPr>
          <w:rFonts w:hint="eastAsia"/>
        </w:rPr>
        <w:t>SWOT矩阵</w:t>
      </w:r>
      <w:r>
        <w:t>分析，</w:t>
      </w:r>
      <w:r>
        <w:rPr>
          <w:rFonts w:hint="eastAsia"/>
        </w:rPr>
        <w:t>针对</w:t>
      </w:r>
      <w:r>
        <w:t>分析结果制定相应的行动计划</w:t>
      </w:r>
      <w:r>
        <w:rPr>
          <w:rFonts w:hint="eastAsia"/>
        </w:rPr>
        <w:t>，</w:t>
      </w:r>
      <w:r>
        <w:t>立足当下，着眼未来，</w:t>
      </w:r>
      <w:r>
        <w:rPr>
          <w:rFonts w:hint="eastAsia"/>
        </w:rPr>
        <w:t>充分</w:t>
      </w:r>
      <w:r>
        <w:t>发挥自身优势，弥补不足，充分把握当下的政策及市场发展机遇，</w:t>
      </w:r>
      <w:r>
        <w:rPr>
          <w:rFonts w:hint="eastAsia"/>
        </w:rPr>
        <w:t>采取</w:t>
      </w:r>
      <w:r>
        <w:t>适当的手段</w:t>
      </w:r>
      <w:r>
        <w:rPr>
          <w:rFonts w:hint="eastAsia"/>
        </w:rPr>
        <w:t>迎接</w:t>
      </w:r>
      <w:r>
        <w:t>挑战，</w:t>
      </w:r>
      <w:r>
        <w:rPr>
          <w:rFonts w:hint="eastAsia"/>
        </w:rPr>
        <w:t>提出</w:t>
      </w:r>
      <w:r>
        <w:t>渭南市</w:t>
      </w:r>
      <w:r>
        <w:rPr>
          <w:rFonts w:hint="eastAsia"/>
        </w:rPr>
        <w:t>战略</w:t>
      </w:r>
      <w:r>
        <w:t>新兴产业的有效发展对策。</w:t>
      </w:r>
    </w:p>
    <w:p>
      <w:pPr>
        <w:pStyle w:val="132"/>
        <w:numPr>
          <w:ilvl w:val="0"/>
          <w:numId w:val="8"/>
        </w:numPr>
      </w:pPr>
      <w:r>
        <w:rPr>
          <w:rFonts w:hint="eastAsia"/>
        </w:rPr>
        <w:t>渭南市产业发展SWOT分析</w:t>
      </w:r>
    </w:p>
    <w:tbl>
      <w:tblPr>
        <w:tblStyle w:val="45"/>
        <w:tblW w:w="9060" w:type="dxa"/>
        <w:tblInd w:w="-8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495"/>
        <w:gridCol w:w="3537"/>
        <w:gridCol w:w="30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182" w:hRule="atLeast"/>
        </w:trPr>
        <w:tc>
          <w:tcPr>
            <w:tcW w:w="2495" w:type="dxa"/>
            <w:vMerge w:val="restart"/>
            <w:tcBorders>
              <w:tl2br w:val="single" w:color="auto" w:sz="4" w:space="0"/>
            </w:tcBorders>
            <w:shd w:val="clear" w:color="auto" w:fill="auto"/>
            <w:tcMar>
              <w:top w:w="14" w:type="dxa"/>
              <w:left w:w="98" w:type="dxa"/>
              <w:bottom w:w="0" w:type="dxa"/>
              <w:right w:w="98" w:type="dxa"/>
            </w:tcMar>
            <w:vAlign w:val="center"/>
          </w:tcPr>
          <w:p>
            <w:pPr>
              <w:spacing w:line="240" w:lineRule="auto"/>
              <w:ind w:firstLine="1265" w:firstLineChars="600"/>
              <w:rPr>
                <w:b/>
                <w:bCs/>
                <w:sz w:val="21"/>
                <w:szCs w:val="21"/>
              </w:rPr>
            </w:pPr>
            <w:r>
              <w:rPr>
                <w:b/>
                <w:bCs/>
                <w:sz w:val="21"/>
                <w:szCs w:val="21"/>
              </w:rPr>
              <w:t>内部能力</w:t>
            </w:r>
          </w:p>
          <w:p>
            <w:pPr>
              <w:spacing w:line="240" w:lineRule="auto"/>
              <w:rPr>
                <w:b/>
                <w:bCs/>
                <w:sz w:val="21"/>
                <w:szCs w:val="21"/>
              </w:rPr>
            </w:pPr>
          </w:p>
          <w:p>
            <w:pPr>
              <w:spacing w:line="240" w:lineRule="auto"/>
              <w:rPr>
                <w:b/>
                <w:bCs/>
                <w:sz w:val="21"/>
                <w:szCs w:val="21"/>
              </w:rPr>
            </w:pPr>
          </w:p>
          <w:p>
            <w:pPr>
              <w:spacing w:line="240" w:lineRule="auto"/>
              <w:rPr>
                <w:b/>
                <w:bCs/>
                <w:sz w:val="21"/>
                <w:szCs w:val="21"/>
              </w:rPr>
            </w:pPr>
          </w:p>
          <w:p>
            <w:pPr>
              <w:spacing w:line="240" w:lineRule="auto"/>
              <w:rPr>
                <w:b/>
                <w:bCs/>
                <w:sz w:val="21"/>
                <w:szCs w:val="21"/>
              </w:rPr>
            </w:pPr>
            <w:r>
              <w:rPr>
                <w:b/>
                <w:bCs/>
                <w:sz w:val="21"/>
                <w:szCs w:val="21"/>
              </w:rPr>
              <w:t>外部因素</w:t>
            </w:r>
          </w:p>
        </w:tc>
        <w:tc>
          <w:tcPr>
            <w:tcW w:w="3537" w:type="dxa"/>
            <w:shd w:val="clear" w:color="auto" w:fill="auto"/>
            <w:tcMar>
              <w:top w:w="14" w:type="dxa"/>
              <w:left w:w="98" w:type="dxa"/>
              <w:bottom w:w="0" w:type="dxa"/>
              <w:right w:w="98" w:type="dxa"/>
            </w:tcMar>
            <w:vAlign w:val="center"/>
          </w:tcPr>
          <w:p>
            <w:pPr>
              <w:spacing w:line="240" w:lineRule="auto"/>
              <w:jc w:val="center"/>
              <w:rPr>
                <w:b/>
                <w:bCs/>
                <w:sz w:val="21"/>
                <w:szCs w:val="21"/>
              </w:rPr>
            </w:pPr>
            <w:r>
              <w:rPr>
                <w:b/>
                <w:bCs/>
                <w:sz w:val="21"/>
                <w:szCs w:val="21"/>
              </w:rPr>
              <w:t>优势</w:t>
            </w:r>
          </w:p>
        </w:tc>
        <w:tc>
          <w:tcPr>
            <w:tcW w:w="3028" w:type="dxa"/>
            <w:shd w:val="clear" w:color="auto" w:fill="auto"/>
            <w:tcMar>
              <w:top w:w="14" w:type="dxa"/>
              <w:left w:w="98" w:type="dxa"/>
              <w:bottom w:w="0" w:type="dxa"/>
              <w:right w:w="98" w:type="dxa"/>
            </w:tcMar>
            <w:vAlign w:val="center"/>
          </w:tcPr>
          <w:p>
            <w:pPr>
              <w:spacing w:line="240" w:lineRule="auto"/>
              <w:jc w:val="center"/>
              <w:rPr>
                <w:b/>
                <w:bCs/>
                <w:sz w:val="21"/>
                <w:szCs w:val="21"/>
              </w:rPr>
            </w:pPr>
            <w:r>
              <w:rPr>
                <w:b/>
                <w:bCs/>
                <w:sz w:val="21"/>
                <w:szCs w:val="21"/>
              </w:rPr>
              <w:t>劣势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1831" w:hRule="atLeast"/>
        </w:trPr>
        <w:tc>
          <w:tcPr>
            <w:tcW w:w="2495" w:type="dxa"/>
            <w:vMerge w:val="continue"/>
            <w:tcBorders>
              <w:top w:val="single" w:color="auto" w:sz="6" w:space="0"/>
              <w:tl2br w:val="single" w:color="auto" w:sz="4" w:space="0"/>
            </w:tcBorders>
            <w:shd w:val="clear" w:color="auto" w:fill="auto"/>
            <w:vAlign w:val="center"/>
          </w:tcPr>
          <w:p>
            <w:pPr>
              <w:spacing w:line="240" w:lineRule="auto"/>
              <w:rPr>
                <w:b/>
                <w:bCs/>
                <w:sz w:val="21"/>
                <w:szCs w:val="21"/>
              </w:rPr>
            </w:pPr>
          </w:p>
        </w:tc>
        <w:tc>
          <w:tcPr>
            <w:tcW w:w="3537" w:type="dxa"/>
            <w:shd w:val="clear" w:color="auto" w:fill="auto"/>
            <w:tcMar>
              <w:top w:w="14" w:type="dxa"/>
              <w:left w:w="98" w:type="dxa"/>
              <w:bottom w:w="0" w:type="dxa"/>
              <w:right w:w="98" w:type="dxa"/>
            </w:tcMar>
            <w:vAlign w:val="center"/>
          </w:tcPr>
          <w:p>
            <w:pPr>
              <w:numPr>
                <w:ilvl w:val="0"/>
                <w:numId w:val="9"/>
              </w:numPr>
              <w:spacing w:line="240" w:lineRule="auto"/>
              <w:rPr>
                <w:sz w:val="21"/>
                <w:szCs w:val="21"/>
              </w:rPr>
            </w:pPr>
            <w:r>
              <w:rPr>
                <w:sz w:val="21"/>
                <w:szCs w:val="21"/>
              </w:rPr>
              <w:t>具备</w:t>
            </w:r>
            <w:r>
              <w:rPr>
                <w:rFonts w:hint="eastAsia"/>
                <w:sz w:val="21"/>
                <w:szCs w:val="21"/>
              </w:rPr>
              <w:t>区位交通优势</w:t>
            </w:r>
          </w:p>
          <w:p>
            <w:pPr>
              <w:numPr>
                <w:ilvl w:val="0"/>
                <w:numId w:val="9"/>
              </w:numPr>
              <w:spacing w:line="240" w:lineRule="auto"/>
              <w:rPr>
                <w:sz w:val="21"/>
                <w:szCs w:val="21"/>
              </w:rPr>
            </w:pPr>
            <w:r>
              <w:rPr>
                <w:sz w:val="21"/>
                <w:szCs w:val="21"/>
              </w:rPr>
              <w:t>具备</w:t>
            </w:r>
            <w:r>
              <w:rPr>
                <w:rFonts w:hint="eastAsia"/>
                <w:sz w:val="21"/>
                <w:szCs w:val="21"/>
              </w:rPr>
              <w:t>资源及成本优势</w:t>
            </w:r>
          </w:p>
          <w:p>
            <w:pPr>
              <w:numPr>
                <w:ilvl w:val="0"/>
                <w:numId w:val="9"/>
              </w:numPr>
              <w:spacing w:line="240" w:lineRule="auto"/>
              <w:rPr>
                <w:sz w:val="21"/>
                <w:szCs w:val="21"/>
              </w:rPr>
            </w:pPr>
            <w:r>
              <w:rPr>
                <w:sz w:val="21"/>
                <w:szCs w:val="21"/>
              </w:rPr>
              <w:t>具备</w:t>
            </w:r>
            <w:r>
              <w:rPr>
                <w:rFonts w:hint="eastAsia"/>
                <w:sz w:val="21"/>
                <w:szCs w:val="21"/>
              </w:rPr>
              <w:t>人才教育优势</w:t>
            </w:r>
          </w:p>
          <w:p>
            <w:pPr>
              <w:numPr>
                <w:ilvl w:val="0"/>
                <w:numId w:val="9"/>
              </w:numPr>
              <w:spacing w:line="240" w:lineRule="auto"/>
              <w:rPr>
                <w:sz w:val="21"/>
                <w:szCs w:val="21"/>
              </w:rPr>
            </w:pPr>
            <w:r>
              <w:rPr>
                <w:rFonts w:hint="eastAsia"/>
                <w:sz w:val="21"/>
                <w:szCs w:val="21"/>
              </w:rPr>
              <w:t>具备政策优势</w:t>
            </w:r>
          </w:p>
        </w:tc>
        <w:tc>
          <w:tcPr>
            <w:tcW w:w="3028" w:type="dxa"/>
            <w:shd w:val="clear" w:color="auto" w:fill="auto"/>
            <w:tcMar>
              <w:top w:w="14" w:type="dxa"/>
              <w:left w:w="98" w:type="dxa"/>
              <w:bottom w:w="0" w:type="dxa"/>
              <w:right w:w="98" w:type="dxa"/>
            </w:tcMar>
            <w:vAlign w:val="center"/>
          </w:tcPr>
          <w:p>
            <w:pPr>
              <w:numPr>
                <w:ilvl w:val="0"/>
                <w:numId w:val="9"/>
              </w:numPr>
              <w:spacing w:line="240" w:lineRule="auto"/>
              <w:rPr>
                <w:sz w:val="21"/>
                <w:szCs w:val="21"/>
              </w:rPr>
            </w:pPr>
            <w:r>
              <w:rPr>
                <w:rFonts w:hint="eastAsia"/>
                <w:sz w:val="21"/>
                <w:szCs w:val="21"/>
              </w:rPr>
              <w:t>战略</w:t>
            </w:r>
            <w:r>
              <w:rPr>
                <w:sz w:val="21"/>
                <w:szCs w:val="21"/>
              </w:rPr>
              <w:t>新兴产业</w:t>
            </w:r>
            <w:r>
              <w:rPr>
                <w:rFonts w:hint="eastAsia"/>
                <w:sz w:val="21"/>
                <w:szCs w:val="21"/>
              </w:rPr>
              <w:t>起步</w:t>
            </w:r>
            <w:r>
              <w:rPr>
                <w:sz w:val="21"/>
                <w:szCs w:val="21"/>
              </w:rPr>
              <w:t>较晚，发展缓慢</w:t>
            </w:r>
          </w:p>
          <w:p>
            <w:pPr>
              <w:numPr>
                <w:ilvl w:val="0"/>
                <w:numId w:val="9"/>
              </w:numPr>
              <w:spacing w:line="240" w:lineRule="auto"/>
              <w:rPr>
                <w:sz w:val="21"/>
                <w:szCs w:val="21"/>
              </w:rPr>
            </w:pPr>
            <w:r>
              <w:rPr>
                <w:sz w:val="21"/>
                <w:szCs w:val="21"/>
              </w:rPr>
              <w:t>缺少龙头企业</w:t>
            </w:r>
            <w:r>
              <w:rPr>
                <w:rFonts w:hint="eastAsia"/>
                <w:sz w:val="21"/>
                <w:szCs w:val="21"/>
              </w:rPr>
              <w:t>带动</w:t>
            </w:r>
            <w:r>
              <w:rPr>
                <w:sz w:val="21"/>
                <w:szCs w:val="21"/>
              </w:rPr>
              <w:t>，产业链配套不健全</w:t>
            </w:r>
          </w:p>
          <w:p>
            <w:pPr>
              <w:numPr>
                <w:ilvl w:val="0"/>
                <w:numId w:val="9"/>
              </w:numPr>
              <w:spacing w:line="240" w:lineRule="auto"/>
              <w:rPr>
                <w:sz w:val="21"/>
                <w:szCs w:val="21"/>
              </w:rPr>
            </w:pPr>
            <w:r>
              <w:rPr>
                <w:sz w:val="21"/>
                <w:szCs w:val="21"/>
              </w:rPr>
              <w:t>示范推广经验、条件不足</w:t>
            </w:r>
          </w:p>
          <w:p>
            <w:pPr>
              <w:numPr>
                <w:ilvl w:val="0"/>
                <w:numId w:val="9"/>
              </w:numPr>
              <w:spacing w:line="240" w:lineRule="auto"/>
              <w:rPr>
                <w:sz w:val="21"/>
                <w:szCs w:val="21"/>
              </w:rPr>
            </w:pPr>
            <w:r>
              <w:rPr>
                <w:sz w:val="21"/>
                <w:szCs w:val="21"/>
              </w:rPr>
              <w:t>专业人才、核心技术缺乏</w:t>
            </w:r>
          </w:p>
          <w:p>
            <w:pPr>
              <w:numPr>
                <w:ilvl w:val="0"/>
                <w:numId w:val="9"/>
              </w:numPr>
              <w:spacing w:line="240" w:lineRule="auto"/>
              <w:rPr>
                <w:sz w:val="21"/>
                <w:szCs w:val="21"/>
              </w:rPr>
            </w:pPr>
            <w:r>
              <w:rPr>
                <w:sz w:val="21"/>
                <w:szCs w:val="21"/>
              </w:rPr>
              <w:t>财政压力较大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65" w:hRule="atLeast"/>
        </w:trPr>
        <w:tc>
          <w:tcPr>
            <w:tcW w:w="2495" w:type="dxa"/>
            <w:shd w:val="clear" w:color="auto" w:fill="auto"/>
            <w:tcMar>
              <w:top w:w="14" w:type="dxa"/>
              <w:left w:w="98" w:type="dxa"/>
              <w:bottom w:w="0" w:type="dxa"/>
              <w:right w:w="98" w:type="dxa"/>
            </w:tcMar>
            <w:vAlign w:val="center"/>
          </w:tcPr>
          <w:p>
            <w:pPr>
              <w:spacing w:line="240" w:lineRule="auto"/>
              <w:jc w:val="center"/>
              <w:rPr>
                <w:b/>
                <w:bCs/>
                <w:sz w:val="21"/>
                <w:szCs w:val="21"/>
              </w:rPr>
            </w:pPr>
            <w:r>
              <w:rPr>
                <w:b/>
                <w:bCs/>
                <w:sz w:val="21"/>
                <w:szCs w:val="21"/>
              </w:rPr>
              <w:t>机遇</w:t>
            </w:r>
          </w:p>
        </w:tc>
        <w:tc>
          <w:tcPr>
            <w:tcW w:w="3537" w:type="dxa"/>
            <w:shd w:val="clear" w:color="auto" w:fill="auto"/>
            <w:tcMar>
              <w:top w:w="14" w:type="dxa"/>
              <w:left w:w="98" w:type="dxa"/>
              <w:bottom w:w="0" w:type="dxa"/>
              <w:right w:w="98" w:type="dxa"/>
            </w:tcMar>
            <w:vAlign w:val="center"/>
          </w:tcPr>
          <w:p>
            <w:pPr>
              <w:spacing w:line="240" w:lineRule="auto"/>
              <w:jc w:val="center"/>
              <w:rPr>
                <w:sz w:val="21"/>
                <w:szCs w:val="21"/>
              </w:rPr>
            </w:pPr>
            <w:r>
              <w:rPr>
                <w:b/>
                <w:sz w:val="21"/>
                <w:szCs w:val="21"/>
              </w:rPr>
              <w:t>把握机遇发挥优势</w:t>
            </w:r>
          </w:p>
        </w:tc>
        <w:tc>
          <w:tcPr>
            <w:tcW w:w="3028" w:type="dxa"/>
            <w:shd w:val="clear" w:color="auto" w:fill="auto"/>
            <w:tcMar>
              <w:top w:w="14" w:type="dxa"/>
              <w:left w:w="98" w:type="dxa"/>
              <w:bottom w:w="0" w:type="dxa"/>
              <w:right w:w="98" w:type="dxa"/>
            </w:tcMar>
            <w:vAlign w:val="center"/>
          </w:tcPr>
          <w:p>
            <w:pPr>
              <w:spacing w:line="240" w:lineRule="auto"/>
              <w:jc w:val="center"/>
              <w:rPr>
                <w:sz w:val="21"/>
                <w:szCs w:val="21"/>
              </w:rPr>
            </w:pPr>
            <w:r>
              <w:rPr>
                <w:b/>
                <w:sz w:val="21"/>
                <w:szCs w:val="21"/>
              </w:rPr>
              <w:t>利用机遇弥补不足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60" w:hRule="atLeast"/>
        </w:trPr>
        <w:tc>
          <w:tcPr>
            <w:tcW w:w="2495" w:type="dxa"/>
            <w:shd w:val="clear" w:color="auto" w:fill="auto"/>
            <w:tcMar>
              <w:top w:w="14" w:type="dxa"/>
              <w:left w:w="98" w:type="dxa"/>
              <w:bottom w:w="0" w:type="dxa"/>
              <w:right w:w="98" w:type="dxa"/>
            </w:tcMar>
            <w:vAlign w:val="center"/>
          </w:tcPr>
          <w:p>
            <w:pPr>
              <w:numPr>
                <w:ilvl w:val="0"/>
                <w:numId w:val="9"/>
              </w:numPr>
              <w:spacing w:line="240" w:lineRule="auto"/>
              <w:rPr>
                <w:sz w:val="21"/>
                <w:szCs w:val="21"/>
              </w:rPr>
            </w:pPr>
            <w:r>
              <w:rPr>
                <w:sz w:val="21"/>
                <w:szCs w:val="21"/>
              </w:rPr>
              <w:t>国家出台一系列政策扶持新能源</w:t>
            </w:r>
            <w:r>
              <w:rPr>
                <w:rFonts w:hint="eastAsia"/>
                <w:sz w:val="21"/>
                <w:szCs w:val="21"/>
              </w:rPr>
              <w:t>新材料</w:t>
            </w:r>
            <w:r>
              <w:rPr>
                <w:sz w:val="21"/>
                <w:szCs w:val="21"/>
              </w:rPr>
              <w:t>产业发展和推广应用</w:t>
            </w:r>
          </w:p>
          <w:p>
            <w:pPr>
              <w:numPr>
                <w:ilvl w:val="0"/>
                <w:numId w:val="9"/>
              </w:numPr>
              <w:spacing w:line="240" w:lineRule="auto"/>
              <w:rPr>
                <w:sz w:val="21"/>
                <w:szCs w:val="21"/>
              </w:rPr>
            </w:pPr>
            <w:r>
              <w:rPr>
                <w:rFonts w:hint="eastAsia"/>
                <w:sz w:val="21"/>
                <w:szCs w:val="21"/>
              </w:rPr>
              <w:t>地处关天经济区核心地带，具备巨大市场潜力</w:t>
            </w:r>
          </w:p>
          <w:p>
            <w:pPr>
              <w:numPr>
                <w:ilvl w:val="0"/>
                <w:numId w:val="9"/>
              </w:numPr>
              <w:spacing w:line="240" w:lineRule="auto"/>
              <w:rPr>
                <w:sz w:val="21"/>
                <w:szCs w:val="21"/>
              </w:rPr>
            </w:pPr>
            <w:r>
              <w:rPr>
                <w:rFonts w:hint="eastAsia"/>
                <w:sz w:val="21"/>
                <w:szCs w:val="21"/>
              </w:rPr>
              <w:t>国家推进西部大开发、“一带一路”战略</w:t>
            </w:r>
            <w:r>
              <w:rPr>
                <w:sz w:val="21"/>
                <w:szCs w:val="21"/>
              </w:rPr>
              <w:t>，产业转移机遇显著</w:t>
            </w:r>
          </w:p>
          <w:p>
            <w:pPr>
              <w:numPr>
                <w:ilvl w:val="0"/>
                <w:numId w:val="9"/>
              </w:numPr>
              <w:spacing w:line="240" w:lineRule="auto"/>
              <w:rPr>
                <w:sz w:val="21"/>
                <w:szCs w:val="21"/>
              </w:rPr>
            </w:pPr>
            <w:r>
              <w:rPr>
                <w:rFonts w:hint="eastAsia"/>
                <w:sz w:val="21"/>
                <w:szCs w:val="21"/>
              </w:rPr>
              <w:t>地处秦晋豫黄河</w:t>
            </w:r>
            <w:r>
              <w:rPr>
                <w:sz w:val="21"/>
                <w:szCs w:val="21"/>
              </w:rPr>
              <w:t>三角区</w:t>
            </w:r>
            <w:r>
              <w:rPr>
                <w:rFonts w:hint="eastAsia"/>
                <w:sz w:val="21"/>
                <w:szCs w:val="21"/>
              </w:rPr>
              <w:t>核心的三省协作推动</w:t>
            </w:r>
          </w:p>
          <w:p>
            <w:pPr>
              <w:numPr>
                <w:ilvl w:val="0"/>
                <w:numId w:val="9"/>
              </w:numPr>
              <w:spacing w:line="240" w:lineRule="auto"/>
              <w:rPr>
                <w:sz w:val="21"/>
                <w:szCs w:val="21"/>
              </w:rPr>
            </w:pPr>
            <w:r>
              <w:rPr>
                <w:rFonts w:hint="eastAsia"/>
                <w:sz w:val="21"/>
                <w:szCs w:val="21"/>
              </w:rPr>
              <w:t>西安1小时</w:t>
            </w:r>
            <w:r>
              <w:rPr>
                <w:sz w:val="21"/>
                <w:szCs w:val="21"/>
              </w:rPr>
              <w:t>经济圈的发展带动</w:t>
            </w:r>
          </w:p>
          <w:p>
            <w:pPr>
              <w:numPr>
                <w:ilvl w:val="0"/>
                <w:numId w:val="9"/>
              </w:numPr>
              <w:spacing w:line="240" w:lineRule="auto"/>
              <w:rPr>
                <w:sz w:val="21"/>
                <w:szCs w:val="21"/>
              </w:rPr>
            </w:pPr>
            <w:r>
              <w:rPr>
                <w:rFonts w:hint="eastAsia"/>
                <w:sz w:val="21"/>
                <w:szCs w:val="21"/>
              </w:rPr>
              <w:t>绿色发展</w:t>
            </w:r>
            <w:r>
              <w:rPr>
                <w:sz w:val="21"/>
                <w:szCs w:val="21"/>
              </w:rPr>
              <w:t>的总体目标</w:t>
            </w:r>
          </w:p>
        </w:tc>
        <w:tc>
          <w:tcPr>
            <w:tcW w:w="3537" w:type="dxa"/>
            <w:shd w:val="clear" w:color="auto" w:fill="auto"/>
            <w:tcMar>
              <w:top w:w="14" w:type="dxa"/>
              <w:left w:w="98" w:type="dxa"/>
              <w:bottom w:w="0" w:type="dxa"/>
              <w:right w:w="98" w:type="dxa"/>
            </w:tcMar>
            <w:vAlign w:val="center"/>
          </w:tcPr>
          <w:p>
            <w:pPr>
              <w:numPr>
                <w:ilvl w:val="0"/>
                <w:numId w:val="9"/>
              </w:numPr>
              <w:spacing w:line="240" w:lineRule="auto"/>
              <w:rPr>
                <w:sz w:val="21"/>
                <w:szCs w:val="21"/>
              </w:rPr>
            </w:pPr>
            <w:r>
              <w:rPr>
                <w:sz w:val="21"/>
                <w:szCs w:val="21"/>
              </w:rPr>
              <w:t>顺应国家扶持政策导向，</w:t>
            </w:r>
            <w:r>
              <w:rPr>
                <w:rFonts w:hint="eastAsia"/>
                <w:sz w:val="21"/>
                <w:szCs w:val="21"/>
              </w:rPr>
              <w:t>大力发展新能源</w:t>
            </w:r>
            <w:r>
              <w:rPr>
                <w:sz w:val="21"/>
                <w:szCs w:val="21"/>
              </w:rPr>
              <w:t>、新材料和新能源汽车等战略新兴产业</w:t>
            </w:r>
          </w:p>
          <w:p>
            <w:pPr>
              <w:numPr>
                <w:ilvl w:val="0"/>
                <w:numId w:val="9"/>
              </w:numPr>
              <w:spacing w:line="240" w:lineRule="auto"/>
              <w:rPr>
                <w:sz w:val="21"/>
                <w:szCs w:val="21"/>
              </w:rPr>
            </w:pPr>
            <w:r>
              <w:rPr>
                <w:rFonts w:hint="eastAsia"/>
                <w:sz w:val="21"/>
                <w:szCs w:val="21"/>
              </w:rPr>
              <w:t>充分</w:t>
            </w:r>
            <w:r>
              <w:rPr>
                <w:sz w:val="21"/>
                <w:szCs w:val="21"/>
              </w:rPr>
              <w:t>利用交通和经济区位优势，</w:t>
            </w:r>
            <w:r>
              <w:rPr>
                <w:rFonts w:hint="eastAsia"/>
                <w:sz w:val="21"/>
                <w:szCs w:val="21"/>
              </w:rPr>
              <w:t>积极</w:t>
            </w:r>
            <w:r>
              <w:rPr>
                <w:sz w:val="21"/>
                <w:szCs w:val="21"/>
              </w:rPr>
              <w:t>寻求产业</w:t>
            </w:r>
            <w:r>
              <w:rPr>
                <w:rFonts w:hint="eastAsia"/>
                <w:sz w:val="21"/>
                <w:szCs w:val="21"/>
              </w:rPr>
              <w:t>协作</w:t>
            </w:r>
            <w:r>
              <w:rPr>
                <w:sz w:val="21"/>
                <w:szCs w:val="21"/>
              </w:rPr>
              <w:t>和产业配套</w:t>
            </w:r>
            <w:r>
              <w:rPr>
                <w:rFonts w:hint="eastAsia"/>
                <w:sz w:val="21"/>
                <w:szCs w:val="21"/>
              </w:rPr>
              <w:t>，</w:t>
            </w:r>
            <w:r>
              <w:rPr>
                <w:sz w:val="21"/>
                <w:szCs w:val="21"/>
              </w:rPr>
              <w:t>融入区域经济发展圈</w:t>
            </w:r>
          </w:p>
          <w:p>
            <w:pPr>
              <w:numPr>
                <w:ilvl w:val="0"/>
                <w:numId w:val="9"/>
              </w:numPr>
              <w:spacing w:line="240" w:lineRule="auto"/>
              <w:rPr>
                <w:sz w:val="21"/>
                <w:szCs w:val="21"/>
              </w:rPr>
            </w:pPr>
            <w:r>
              <w:rPr>
                <w:rFonts w:hint="eastAsia"/>
                <w:sz w:val="21"/>
                <w:szCs w:val="21"/>
              </w:rPr>
              <w:t>挖掘本地</w:t>
            </w:r>
            <w:r>
              <w:rPr>
                <w:sz w:val="21"/>
                <w:szCs w:val="21"/>
              </w:rPr>
              <w:t>市场空间，大力推广新能源新材料和新能源汽车的应用</w:t>
            </w:r>
            <w:r>
              <w:rPr>
                <w:rFonts w:hint="eastAsia"/>
                <w:sz w:val="21"/>
                <w:szCs w:val="21"/>
              </w:rPr>
              <w:t>和</w:t>
            </w:r>
            <w:r>
              <w:rPr>
                <w:sz w:val="21"/>
                <w:szCs w:val="21"/>
              </w:rPr>
              <w:t>示范工程，</w:t>
            </w:r>
            <w:r>
              <w:rPr>
                <w:rFonts w:hint="eastAsia"/>
                <w:sz w:val="21"/>
                <w:szCs w:val="21"/>
              </w:rPr>
              <w:t>引导</w:t>
            </w:r>
            <w:r>
              <w:rPr>
                <w:sz w:val="21"/>
                <w:szCs w:val="21"/>
              </w:rPr>
              <w:t>市场消费习惯，促进</w:t>
            </w:r>
            <w:r>
              <w:rPr>
                <w:rFonts w:hint="eastAsia"/>
                <w:sz w:val="21"/>
                <w:szCs w:val="21"/>
              </w:rPr>
              <w:t>相关</w:t>
            </w:r>
            <w:r>
              <w:rPr>
                <w:sz w:val="21"/>
                <w:szCs w:val="21"/>
              </w:rPr>
              <w:t>产业发展。</w:t>
            </w:r>
          </w:p>
          <w:p>
            <w:pPr>
              <w:numPr>
                <w:ilvl w:val="0"/>
                <w:numId w:val="9"/>
              </w:numPr>
              <w:spacing w:line="240" w:lineRule="auto"/>
              <w:rPr>
                <w:sz w:val="21"/>
                <w:szCs w:val="21"/>
              </w:rPr>
            </w:pPr>
            <w:r>
              <w:rPr>
                <w:rFonts w:hint="eastAsia"/>
                <w:sz w:val="21"/>
                <w:szCs w:val="21"/>
              </w:rPr>
              <w:t>打造良好的</w:t>
            </w:r>
            <w:r>
              <w:rPr>
                <w:sz w:val="21"/>
                <w:szCs w:val="21"/>
              </w:rPr>
              <w:t>投资环境</w:t>
            </w:r>
            <w:r>
              <w:rPr>
                <w:rFonts w:hint="eastAsia"/>
                <w:sz w:val="21"/>
                <w:szCs w:val="21"/>
              </w:rPr>
              <w:t>，吸引资本</w:t>
            </w:r>
            <w:r>
              <w:rPr>
                <w:sz w:val="21"/>
                <w:szCs w:val="21"/>
              </w:rPr>
              <w:t>进入。</w:t>
            </w:r>
          </w:p>
          <w:p>
            <w:pPr>
              <w:numPr>
                <w:ilvl w:val="0"/>
                <w:numId w:val="9"/>
              </w:numPr>
              <w:spacing w:line="240" w:lineRule="auto"/>
              <w:rPr>
                <w:sz w:val="21"/>
                <w:szCs w:val="21"/>
              </w:rPr>
            </w:pPr>
            <w:r>
              <w:rPr>
                <w:rFonts w:hint="eastAsia"/>
                <w:sz w:val="21"/>
                <w:szCs w:val="21"/>
              </w:rPr>
              <w:t>紧抓机遇补充本地及周边空白领域</w:t>
            </w:r>
          </w:p>
          <w:p>
            <w:pPr>
              <w:numPr>
                <w:ilvl w:val="0"/>
                <w:numId w:val="9"/>
              </w:numPr>
              <w:spacing w:line="240" w:lineRule="auto"/>
              <w:rPr>
                <w:sz w:val="21"/>
                <w:szCs w:val="21"/>
              </w:rPr>
            </w:pPr>
            <w:r>
              <w:rPr>
                <w:sz w:val="21"/>
                <w:szCs w:val="21"/>
              </w:rPr>
              <w:t>发挥人力及土地等资源成本优势，做好承接产业转移准备</w:t>
            </w:r>
          </w:p>
        </w:tc>
        <w:tc>
          <w:tcPr>
            <w:tcW w:w="3028" w:type="dxa"/>
            <w:shd w:val="clear" w:color="auto" w:fill="auto"/>
            <w:tcMar>
              <w:top w:w="14" w:type="dxa"/>
              <w:left w:w="98" w:type="dxa"/>
              <w:bottom w:w="0" w:type="dxa"/>
              <w:right w:w="98" w:type="dxa"/>
            </w:tcMar>
            <w:vAlign w:val="center"/>
          </w:tcPr>
          <w:p>
            <w:pPr>
              <w:numPr>
                <w:ilvl w:val="0"/>
                <w:numId w:val="9"/>
              </w:numPr>
              <w:spacing w:line="240" w:lineRule="auto"/>
              <w:rPr>
                <w:sz w:val="21"/>
                <w:szCs w:val="21"/>
              </w:rPr>
            </w:pPr>
            <w:r>
              <w:rPr>
                <w:rFonts w:hint="eastAsia"/>
                <w:sz w:val="21"/>
                <w:szCs w:val="21"/>
              </w:rPr>
              <w:t>积极</w:t>
            </w:r>
            <w:r>
              <w:rPr>
                <w:sz w:val="21"/>
                <w:szCs w:val="21"/>
              </w:rPr>
              <w:t>投入人力、财力、物力发展战略新兴产业，寻求弯道上车、弯道超车的</w:t>
            </w:r>
            <w:r>
              <w:rPr>
                <w:rFonts w:hint="eastAsia"/>
                <w:sz w:val="21"/>
                <w:szCs w:val="21"/>
              </w:rPr>
              <w:t>方法</w:t>
            </w:r>
          </w:p>
          <w:p>
            <w:pPr>
              <w:numPr>
                <w:ilvl w:val="0"/>
                <w:numId w:val="9"/>
              </w:numPr>
              <w:spacing w:line="240" w:lineRule="auto"/>
              <w:rPr>
                <w:sz w:val="21"/>
                <w:szCs w:val="21"/>
              </w:rPr>
            </w:pPr>
            <w:r>
              <w:rPr>
                <w:sz w:val="21"/>
                <w:szCs w:val="21"/>
              </w:rPr>
              <w:t>引进外地技术、资金，扶持培育龙头企业</w:t>
            </w:r>
          </w:p>
          <w:p>
            <w:pPr>
              <w:numPr>
                <w:ilvl w:val="0"/>
                <w:numId w:val="9"/>
              </w:numPr>
              <w:spacing w:line="240" w:lineRule="auto"/>
              <w:rPr>
                <w:sz w:val="21"/>
                <w:szCs w:val="21"/>
              </w:rPr>
            </w:pPr>
            <w:r>
              <w:rPr>
                <w:sz w:val="21"/>
                <w:szCs w:val="21"/>
              </w:rPr>
              <w:t>把握关键</w:t>
            </w:r>
            <w:r>
              <w:rPr>
                <w:rFonts w:hint="eastAsia"/>
                <w:sz w:val="21"/>
                <w:szCs w:val="21"/>
              </w:rPr>
              <w:t>技术和</w:t>
            </w:r>
            <w:r>
              <w:rPr>
                <w:sz w:val="21"/>
                <w:szCs w:val="21"/>
              </w:rPr>
              <w:t>核心产能扩张机遇，引进充实完善本地产业链</w:t>
            </w:r>
          </w:p>
          <w:p>
            <w:pPr>
              <w:numPr>
                <w:ilvl w:val="0"/>
                <w:numId w:val="9"/>
              </w:numPr>
              <w:spacing w:line="240" w:lineRule="auto"/>
              <w:rPr>
                <w:sz w:val="21"/>
                <w:szCs w:val="21"/>
              </w:rPr>
            </w:pPr>
            <w:r>
              <w:rPr>
                <w:rFonts w:hint="eastAsia"/>
                <w:sz w:val="21"/>
                <w:szCs w:val="21"/>
              </w:rPr>
              <w:t>加大产业</w:t>
            </w:r>
            <w:r>
              <w:rPr>
                <w:sz w:val="21"/>
                <w:szCs w:val="21"/>
              </w:rPr>
              <w:t>研发和支持力度，</w:t>
            </w:r>
            <w:r>
              <w:rPr>
                <w:rFonts w:hint="eastAsia"/>
                <w:sz w:val="21"/>
                <w:szCs w:val="21"/>
              </w:rPr>
              <w:t>促进</w:t>
            </w:r>
            <w:r>
              <w:rPr>
                <w:sz w:val="21"/>
                <w:szCs w:val="21"/>
              </w:rPr>
              <w:t>科技成果转化，</w:t>
            </w:r>
            <w:r>
              <w:rPr>
                <w:rFonts w:hint="eastAsia"/>
                <w:sz w:val="21"/>
                <w:szCs w:val="21"/>
              </w:rPr>
              <w:t>以</w:t>
            </w:r>
            <w:r>
              <w:rPr>
                <w:sz w:val="21"/>
                <w:szCs w:val="21"/>
              </w:rPr>
              <w:t>核心技术引领产业发展</w:t>
            </w:r>
          </w:p>
          <w:p>
            <w:pPr>
              <w:numPr>
                <w:ilvl w:val="0"/>
                <w:numId w:val="9"/>
              </w:numPr>
              <w:spacing w:line="240" w:lineRule="auto"/>
              <w:rPr>
                <w:sz w:val="21"/>
                <w:szCs w:val="21"/>
              </w:rPr>
            </w:pPr>
            <w:r>
              <w:rPr>
                <w:rFonts w:hint="eastAsia"/>
                <w:sz w:val="21"/>
                <w:szCs w:val="21"/>
              </w:rPr>
              <w:t>利用</w:t>
            </w:r>
            <w:r>
              <w:rPr>
                <w:sz w:val="21"/>
                <w:szCs w:val="21"/>
              </w:rPr>
              <w:t>好国家和</w:t>
            </w:r>
            <w:r>
              <w:rPr>
                <w:rFonts w:hint="eastAsia"/>
                <w:sz w:val="21"/>
                <w:szCs w:val="21"/>
              </w:rPr>
              <w:t>陕西省</w:t>
            </w:r>
            <w:r>
              <w:rPr>
                <w:sz w:val="21"/>
                <w:szCs w:val="21"/>
              </w:rPr>
              <w:t>的利好政策，</w:t>
            </w:r>
            <w:r>
              <w:rPr>
                <w:rFonts w:hint="eastAsia"/>
                <w:sz w:val="21"/>
                <w:szCs w:val="21"/>
              </w:rPr>
              <w:t>缓解</w:t>
            </w:r>
            <w:r>
              <w:rPr>
                <w:sz w:val="21"/>
                <w:szCs w:val="21"/>
              </w:rPr>
              <w:t>地方财政压力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183" w:hRule="atLeast"/>
        </w:trPr>
        <w:tc>
          <w:tcPr>
            <w:tcW w:w="2495" w:type="dxa"/>
            <w:shd w:val="clear" w:color="auto" w:fill="auto"/>
            <w:tcMar>
              <w:top w:w="14" w:type="dxa"/>
              <w:left w:w="98" w:type="dxa"/>
              <w:bottom w:w="0" w:type="dxa"/>
              <w:right w:w="98" w:type="dxa"/>
            </w:tcMar>
            <w:vAlign w:val="center"/>
          </w:tcPr>
          <w:p>
            <w:pPr>
              <w:spacing w:line="240" w:lineRule="auto"/>
              <w:jc w:val="center"/>
              <w:rPr>
                <w:b/>
                <w:bCs/>
                <w:sz w:val="21"/>
                <w:szCs w:val="21"/>
              </w:rPr>
            </w:pPr>
            <w:r>
              <w:rPr>
                <w:b/>
                <w:bCs/>
                <w:sz w:val="21"/>
                <w:szCs w:val="21"/>
              </w:rPr>
              <w:t>挑战</w:t>
            </w:r>
          </w:p>
        </w:tc>
        <w:tc>
          <w:tcPr>
            <w:tcW w:w="3537" w:type="dxa"/>
            <w:shd w:val="clear" w:color="auto" w:fill="auto"/>
            <w:tcMar>
              <w:top w:w="14" w:type="dxa"/>
              <w:left w:w="98" w:type="dxa"/>
              <w:bottom w:w="0" w:type="dxa"/>
              <w:right w:w="98" w:type="dxa"/>
            </w:tcMar>
            <w:vAlign w:val="center"/>
          </w:tcPr>
          <w:p>
            <w:pPr>
              <w:spacing w:line="240" w:lineRule="auto"/>
              <w:jc w:val="center"/>
              <w:rPr>
                <w:sz w:val="21"/>
                <w:szCs w:val="21"/>
              </w:rPr>
            </w:pPr>
            <w:r>
              <w:rPr>
                <w:b/>
                <w:sz w:val="21"/>
                <w:szCs w:val="21"/>
              </w:rPr>
              <w:t>强化优势迎接挑战</w:t>
            </w:r>
          </w:p>
        </w:tc>
        <w:tc>
          <w:tcPr>
            <w:tcW w:w="3028" w:type="dxa"/>
            <w:shd w:val="clear" w:color="auto" w:fill="auto"/>
            <w:tcMar>
              <w:top w:w="14" w:type="dxa"/>
              <w:left w:w="98" w:type="dxa"/>
              <w:bottom w:w="0" w:type="dxa"/>
              <w:right w:w="98" w:type="dxa"/>
            </w:tcMar>
            <w:vAlign w:val="center"/>
          </w:tcPr>
          <w:p>
            <w:pPr>
              <w:spacing w:line="240" w:lineRule="auto"/>
              <w:jc w:val="center"/>
              <w:rPr>
                <w:sz w:val="21"/>
                <w:szCs w:val="21"/>
              </w:rPr>
            </w:pPr>
            <w:r>
              <w:rPr>
                <w:b/>
                <w:sz w:val="21"/>
                <w:szCs w:val="21"/>
              </w:rPr>
              <w:t>正视不足应对挑战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1643" w:hRule="atLeast"/>
        </w:trPr>
        <w:tc>
          <w:tcPr>
            <w:tcW w:w="2495" w:type="dxa"/>
            <w:shd w:val="clear" w:color="auto" w:fill="auto"/>
            <w:tcMar>
              <w:top w:w="14" w:type="dxa"/>
              <w:left w:w="98" w:type="dxa"/>
              <w:bottom w:w="0" w:type="dxa"/>
              <w:right w:w="98" w:type="dxa"/>
            </w:tcMar>
            <w:vAlign w:val="center"/>
          </w:tcPr>
          <w:p>
            <w:pPr>
              <w:numPr>
                <w:ilvl w:val="0"/>
                <w:numId w:val="9"/>
              </w:numPr>
              <w:spacing w:line="240" w:lineRule="auto"/>
              <w:rPr>
                <w:sz w:val="21"/>
                <w:szCs w:val="21"/>
              </w:rPr>
            </w:pPr>
            <w:r>
              <w:rPr>
                <w:sz w:val="21"/>
                <w:szCs w:val="21"/>
              </w:rPr>
              <w:t>招商引资面临激烈竞争</w:t>
            </w:r>
          </w:p>
          <w:p>
            <w:pPr>
              <w:numPr>
                <w:ilvl w:val="0"/>
                <w:numId w:val="9"/>
              </w:numPr>
              <w:spacing w:line="240" w:lineRule="auto"/>
              <w:rPr>
                <w:b/>
                <w:bCs/>
                <w:sz w:val="21"/>
                <w:szCs w:val="21"/>
              </w:rPr>
            </w:pPr>
            <w:r>
              <w:rPr>
                <w:sz w:val="21"/>
                <w:szCs w:val="21"/>
              </w:rPr>
              <w:t>国家补贴力度逐年递减</w:t>
            </w:r>
          </w:p>
          <w:p>
            <w:pPr>
              <w:numPr>
                <w:ilvl w:val="0"/>
                <w:numId w:val="9"/>
              </w:numPr>
              <w:spacing w:line="240" w:lineRule="auto"/>
              <w:rPr>
                <w:b/>
                <w:bCs/>
                <w:sz w:val="21"/>
                <w:szCs w:val="21"/>
              </w:rPr>
            </w:pPr>
            <w:r>
              <w:rPr>
                <w:rFonts w:hint="eastAsia"/>
                <w:sz w:val="21"/>
                <w:szCs w:val="21"/>
              </w:rPr>
              <w:t>发展边界</w:t>
            </w:r>
            <w:r>
              <w:rPr>
                <w:sz w:val="21"/>
                <w:szCs w:val="21"/>
              </w:rPr>
              <w:t>不清晰的工作推动</w:t>
            </w:r>
          </w:p>
        </w:tc>
        <w:tc>
          <w:tcPr>
            <w:tcW w:w="3537" w:type="dxa"/>
            <w:shd w:val="clear" w:color="auto" w:fill="auto"/>
            <w:tcMar>
              <w:top w:w="14" w:type="dxa"/>
              <w:left w:w="98" w:type="dxa"/>
              <w:bottom w:w="0" w:type="dxa"/>
              <w:right w:w="98" w:type="dxa"/>
            </w:tcMar>
            <w:vAlign w:val="center"/>
          </w:tcPr>
          <w:p>
            <w:pPr>
              <w:numPr>
                <w:ilvl w:val="0"/>
                <w:numId w:val="9"/>
              </w:numPr>
              <w:spacing w:line="240" w:lineRule="auto"/>
              <w:rPr>
                <w:sz w:val="21"/>
                <w:szCs w:val="21"/>
              </w:rPr>
            </w:pPr>
            <w:r>
              <w:rPr>
                <w:sz w:val="21"/>
                <w:szCs w:val="21"/>
              </w:rPr>
              <w:t>支持企业提升产品技术水平及生产规模</w:t>
            </w:r>
          </w:p>
          <w:p>
            <w:pPr>
              <w:numPr>
                <w:ilvl w:val="0"/>
                <w:numId w:val="9"/>
              </w:numPr>
              <w:spacing w:line="240" w:lineRule="auto"/>
              <w:rPr>
                <w:sz w:val="21"/>
                <w:szCs w:val="21"/>
              </w:rPr>
            </w:pPr>
            <w:r>
              <w:rPr>
                <w:rFonts w:hint="eastAsia"/>
                <w:sz w:val="21"/>
                <w:szCs w:val="21"/>
              </w:rPr>
              <w:t>前期</w:t>
            </w:r>
            <w:r>
              <w:rPr>
                <w:sz w:val="21"/>
                <w:szCs w:val="21"/>
              </w:rPr>
              <w:t>重点</w:t>
            </w:r>
            <w:r>
              <w:rPr>
                <w:rFonts w:hint="eastAsia"/>
                <w:sz w:val="21"/>
                <w:szCs w:val="21"/>
              </w:rPr>
              <w:t>打造本地核心产业</w:t>
            </w:r>
          </w:p>
          <w:p>
            <w:pPr>
              <w:numPr>
                <w:ilvl w:val="0"/>
                <w:numId w:val="9"/>
              </w:numPr>
              <w:spacing w:line="240" w:lineRule="auto"/>
              <w:rPr>
                <w:sz w:val="21"/>
                <w:szCs w:val="21"/>
              </w:rPr>
            </w:pPr>
            <w:r>
              <w:rPr>
                <w:sz w:val="21"/>
                <w:szCs w:val="21"/>
              </w:rPr>
              <w:t>出台鼓励</w:t>
            </w:r>
            <w:r>
              <w:rPr>
                <w:rFonts w:hint="eastAsia"/>
                <w:sz w:val="21"/>
                <w:szCs w:val="21"/>
              </w:rPr>
              <w:t>新能源</w:t>
            </w:r>
            <w:r>
              <w:rPr>
                <w:sz w:val="21"/>
                <w:szCs w:val="21"/>
              </w:rPr>
              <w:t>和新能源汽车推广应用优惠政策</w:t>
            </w:r>
          </w:p>
        </w:tc>
        <w:tc>
          <w:tcPr>
            <w:tcW w:w="3028" w:type="dxa"/>
            <w:shd w:val="clear" w:color="auto" w:fill="auto"/>
            <w:tcMar>
              <w:top w:w="14" w:type="dxa"/>
              <w:left w:w="98" w:type="dxa"/>
              <w:bottom w:w="0" w:type="dxa"/>
              <w:right w:w="98" w:type="dxa"/>
            </w:tcMar>
            <w:vAlign w:val="center"/>
          </w:tcPr>
          <w:p>
            <w:pPr>
              <w:numPr>
                <w:ilvl w:val="0"/>
                <w:numId w:val="9"/>
              </w:numPr>
              <w:spacing w:line="240" w:lineRule="auto"/>
              <w:rPr>
                <w:sz w:val="21"/>
                <w:szCs w:val="21"/>
              </w:rPr>
            </w:pPr>
            <w:r>
              <w:rPr>
                <w:sz w:val="21"/>
                <w:szCs w:val="21"/>
              </w:rPr>
              <w:t>成立产业发展领导小组，全面指导产业发展及招商引资工作</w:t>
            </w:r>
          </w:p>
          <w:p>
            <w:pPr>
              <w:numPr>
                <w:ilvl w:val="0"/>
                <w:numId w:val="9"/>
              </w:numPr>
              <w:spacing w:line="240" w:lineRule="auto"/>
              <w:rPr>
                <w:sz w:val="21"/>
                <w:szCs w:val="21"/>
              </w:rPr>
            </w:pPr>
            <w:r>
              <w:rPr>
                <w:sz w:val="21"/>
                <w:szCs w:val="21"/>
              </w:rPr>
              <w:t>协调银行为其提供贷款优惠，帮助企业拓宽融资渠道</w:t>
            </w:r>
          </w:p>
          <w:p>
            <w:pPr>
              <w:numPr>
                <w:ilvl w:val="0"/>
                <w:numId w:val="9"/>
              </w:numPr>
              <w:spacing w:line="240" w:lineRule="auto"/>
              <w:rPr>
                <w:sz w:val="21"/>
                <w:szCs w:val="21"/>
              </w:rPr>
            </w:pPr>
            <w:r>
              <w:rPr>
                <w:sz w:val="21"/>
                <w:szCs w:val="21"/>
              </w:rPr>
              <w:t>积极引入社会资本，探索开展公私合作（PPP）等创新模式</w:t>
            </w:r>
          </w:p>
        </w:tc>
      </w:tr>
    </w:tbl>
    <w:p>
      <w:pPr>
        <w:pStyle w:val="129"/>
      </w:pPr>
    </w:p>
    <w:p>
      <w:pPr>
        <w:pStyle w:val="129"/>
      </w:pPr>
    </w:p>
    <w:p>
      <w:pPr>
        <w:pStyle w:val="128"/>
        <w:sectPr>
          <w:pgSz w:w="11906" w:h="16838"/>
          <w:pgMar w:top="1440" w:right="1588" w:bottom="1440" w:left="1588" w:header="851" w:footer="992" w:gutter="0"/>
          <w:pgNumType w:fmt="decimal"/>
          <w:cols w:space="720" w:num="1"/>
          <w:docGrid w:linePitch="312" w:charSpace="0"/>
        </w:sectPr>
      </w:pPr>
    </w:p>
    <w:p>
      <w:pPr>
        <w:pStyle w:val="123"/>
        <w:rPr>
          <w:color w:val="auto"/>
        </w:rPr>
      </w:pPr>
      <w:bookmarkStart w:id="31" w:name="_Toc14272"/>
      <w:r>
        <w:rPr>
          <w:rFonts w:hint="eastAsia"/>
          <w:color w:val="auto"/>
        </w:rPr>
        <w:t>渭南市产业发展现状</w:t>
      </w:r>
      <w:bookmarkEnd w:id="31"/>
    </w:p>
    <w:p>
      <w:pPr>
        <w:pStyle w:val="125"/>
      </w:pPr>
      <w:bookmarkStart w:id="32" w:name="_Toc10809"/>
      <w:r>
        <w:rPr>
          <w:rFonts w:hint="eastAsia"/>
        </w:rPr>
        <w:t>产业</w:t>
      </w:r>
      <w:r>
        <w:t>发展演变</w:t>
      </w:r>
      <w:bookmarkEnd w:id="32"/>
    </w:p>
    <w:p>
      <w:pPr>
        <w:pStyle w:val="128"/>
      </w:pPr>
      <w:r>
        <w:rPr>
          <w:rFonts w:hint="eastAsia"/>
        </w:rPr>
        <w:t>（1）秦唐时期：首都门户与重要粮食生产基地</w:t>
      </w:r>
    </w:p>
    <w:p>
      <w:pPr>
        <w:pStyle w:val="128"/>
      </w:pPr>
      <w:r>
        <w:rPr>
          <w:rFonts w:hint="eastAsia"/>
        </w:rPr>
        <w:t>渭南自秦设下邽县修建了郑国渠后，至唐代一直都是首都重要的粮食供应地，为都城提供粮食供给是渭南一个重要职能。</w:t>
      </w:r>
    </w:p>
    <w:p>
      <w:pPr>
        <w:pStyle w:val="128"/>
      </w:pPr>
      <w:r>
        <w:rPr>
          <w:rFonts w:hint="eastAsia"/>
        </w:rPr>
        <w:t>（2）民国至建国初期：关中东部商贸集散中心</w:t>
      </w:r>
    </w:p>
    <w:p>
      <w:pPr>
        <w:pStyle w:val="128"/>
      </w:pPr>
      <w:r>
        <w:rPr>
          <w:rFonts w:hint="eastAsia"/>
        </w:rPr>
        <w:t>民国二十三年（1934年）陇海铁路通车至渭南，一些资本家在渭南火车站附近陆续开办工厂，商贸也逐渐繁荣。西北聚记机器棉花打包股份有限公司和西北机器棉花打包股份有限公司的建立，标志现代工业在渭南开始出现。依托邻近西安、交通方便的区位条件，渭南成为关中东部粮食、棉花的集散地，私营商业大规模发展。</w:t>
      </w:r>
    </w:p>
    <w:p>
      <w:pPr>
        <w:pStyle w:val="128"/>
      </w:pPr>
      <w:r>
        <w:rPr>
          <w:rFonts w:hint="eastAsia"/>
        </w:rPr>
        <w:t>（3）新中国</w:t>
      </w:r>
      <w:r>
        <w:t>成立后：</w:t>
      </w:r>
      <w:r>
        <w:rPr>
          <w:rFonts w:hint="eastAsia"/>
        </w:rPr>
        <w:t>具有</w:t>
      </w:r>
      <w:r>
        <w:t>综合</w:t>
      </w:r>
      <w:r>
        <w:rPr>
          <w:rFonts w:hint="eastAsia"/>
        </w:rPr>
        <w:t>竞争力</w:t>
      </w:r>
      <w:r>
        <w:t>的</w:t>
      </w:r>
      <w:r>
        <w:rPr>
          <w:rFonts w:hint="eastAsia"/>
        </w:rPr>
        <w:t>副中心城市</w:t>
      </w:r>
    </w:p>
    <w:p>
      <w:pPr>
        <w:pStyle w:val="128"/>
      </w:pPr>
      <w:r>
        <w:rPr>
          <w:rFonts w:hint="eastAsia"/>
        </w:rPr>
        <w:t>快速发展期（1966～1983）：三线建设投资带动，中心城市实力大增</w:t>
      </w:r>
    </w:p>
    <w:p>
      <w:pPr>
        <w:pStyle w:val="128"/>
      </w:pPr>
      <w:r>
        <w:rPr>
          <w:rFonts w:hint="eastAsia"/>
        </w:rPr>
        <w:t>1966年陇海复线通车，适时正值国家三线建设时期，中央、省属众多企业相继在现中心市区投产建设。在陇海铁路沿线和渭北煤田陆续安排一批民用机械、煤炭、电力、冶金等重点项目，使临渭区经济实力大增，初步形成工业布局的雏形。</w:t>
      </w:r>
    </w:p>
    <w:p>
      <w:pPr>
        <w:pStyle w:val="128"/>
      </w:pPr>
      <w:r>
        <w:rPr>
          <w:rFonts w:hint="eastAsia"/>
        </w:rPr>
        <w:t>全面发展期（1983～1995）：城镇建设加速，初显多中心格局</w:t>
      </w:r>
    </w:p>
    <w:p>
      <w:pPr>
        <w:pStyle w:val="128"/>
      </w:pPr>
      <w:r>
        <w:rPr>
          <w:rFonts w:hint="eastAsia"/>
        </w:rPr>
        <w:t>1983年10月，渭南县改为县级市，又先后兴建了一批企业，经济实力进一步增强。伴随着资源的开发，促进了老城镇的发展或新的城镇的建立，如韩城依托煤炭资源，华阴依托华山风景区成为渭南设立较早的县级市；澄合、蒲白矿务局所驻城镇，人口规模也因此增加，另外，如金堆城（钼矿），洽川（黄河湿地风景区）等小城镇依靠资源开发，也得到了长足的发展。</w:t>
      </w:r>
    </w:p>
    <w:p>
      <w:pPr>
        <w:pStyle w:val="128"/>
      </w:pPr>
      <w:r>
        <w:rPr>
          <w:rFonts w:hint="eastAsia"/>
        </w:rPr>
        <w:t>目前</w:t>
      </w:r>
      <w:r>
        <w:t>，</w:t>
      </w:r>
      <w:r>
        <w:rPr>
          <w:rFonts w:hint="eastAsia"/>
        </w:rPr>
        <w:t>农业仍是渭南的重要经济支柱，是陕西重要的农业区和粮食、棉生产基地；工业实力稳步</w:t>
      </w:r>
      <w:r>
        <w:t>提升</w:t>
      </w:r>
      <w:r>
        <w:rPr>
          <w:rFonts w:hint="eastAsia"/>
        </w:rPr>
        <w:t>；第三产业逐步</w:t>
      </w:r>
      <w:r>
        <w:t>繁荣，</w:t>
      </w:r>
      <w:r>
        <w:rPr>
          <w:rFonts w:hint="eastAsia"/>
        </w:rPr>
        <w:t>成为</w:t>
      </w:r>
      <w:r>
        <w:t>具有综合竞争力的关中地区重要</w:t>
      </w:r>
      <w:r>
        <w:rPr>
          <w:rFonts w:hint="eastAsia"/>
        </w:rPr>
        <w:t>城市之一</w:t>
      </w:r>
      <w:r>
        <w:t>。</w:t>
      </w:r>
    </w:p>
    <w:p>
      <w:pPr>
        <w:pStyle w:val="125"/>
      </w:pPr>
      <w:bookmarkStart w:id="33" w:name="_Toc6322"/>
      <w:r>
        <w:rPr>
          <w:rFonts w:hint="eastAsia"/>
        </w:rPr>
        <w:t>渭南市产业发展现状</w:t>
      </w:r>
      <w:bookmarkEnd w:id="33"/>
    </w:p>
    <w:p>
      <w:pPr>
        <w:pStyle w:val="126"/>
      </w:pPr>
      <w:r>
        <w:rPr>
          <w:rFonts w:hint="eastAsia"/>
        </w:rPr>
        <w:t>渭南市总体</w:t>
      </w:r>
      <w:r>
        <w:t>工业格局</w:t>
      </w:r>
    </w:p>
    <w:p>
      <w:pPr>
        <w:pStyle w:val="128"/>
      </w:pPr>
      <w:r>
        <w:t>在</w:t>
      </w:r>
      <w:r>
        <w:rPr>
          <w:rFonts w:hint="eastAsia"/>
        </w:rPr>
        <w:t>“</w:t>
      </w:r>
      <w:r>
        <w:t>工业强市</w:t>
      </w:r>
      <w:r>
        <w:rPr>
          <w:rFonts w:hint="eastAsia"/>
        </w:rPr>
        <w:t>”</w:t>
      </w:r>
      <w:r>
        <w:t>战略的指导下，</w:t>
      </w:r>
      <w:r>
        <w:rPr>
          <w:rFonts w:hint="eastAsia"/>
        </w:rPr>
        <w:t>渭南市</w:t>
      </w:r>
      <w:r>
        <w:t>加快推进新型工业化，工业经济在结构战略调整中不断发展壮大，逐步形成了以能源、化工、装备制造、食品、非金属矿物制品和有色冶金等六大主导行业为主、</w:t>
      </w:r>
      <w:r>
        <w:rPr>
          <w:rFonts w:hint="eastAsia"/>
        </w:rPr>
        <w:t>“</w:t>
      </w:r>
      <w:r>
        <w:t>重化工</w:t>
      </w:r>
      <w:r>
        <w:rPr>
          <w:rFonts w:hint="eastAsia"/>
        </w:rPr>
        <w:t>”</w:t>
      </w:r>
      <w:r>
        <w:t>特征明显的工业生产体系，工业经济的主导作用不断增强。工业增加值由2004年的104亿元发展到2015年的627亿元，年均增长16.4%，工业增加值占GDP比重由2004年的37.2%提高到2015年的42.7%，上升了5.0个百分点，工业成为推动经济持续快速发展的主要动力。</w:t>
      </w:r>
    </w:p>
    <w:p>
      <w:pPr>
        <w:pStyle w:val="132"/>
        <w:numPr>
          <w:ilvl w:val="0"/>
          <w:numId w:val="10"/>
        </w:numPr>
        <w:adjustRightInd w:val="0"/>
        <w:snapToGrid w:val="0"/>
      </w:pPr>
      <w:r>
        <w:t>2004和2015年六大主导工业行业内部结构及变化情况</w:t>
      </w:r>
    </w:p>
    <w:tbl>
      <w:tblPr>
        <w:tblStyle w:val="45"/>
        <w:tblW w:w="807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15" w:type="dxa"/>
          <w:left w:w="15" w:type="dxa"/>
          <w:bottom w:w="15" w:type="dxa"/>
          <w:right w:w="15" w:type="dxa"/>
        </w:tblCellMar>
      </w:tblPr>
      <w:tblGrid>
        <w:gridCol w:w="3170"/>
        <w:gridCol w:w="794"/>
        <w:gridCol w:w="993"/>
        <w:gridCol w:w="1134"/>
        <w:gridCol w:w="1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15" w:type="dxa"/>
            <w:left w:w="15" w:type="dxa"/>
            <w:bottom w:w="15" w:type="dxa"/>
            <w:right w:w="15" w:type="dxa"/>
          </w:tblCellMar>
        </w:tblPrEx>
        <w:trPr>
          <w:trHeight w:val="397" w:hRule="atLeast"/>
        </w:trPr>
        <w:tc>
          <w:tcPr>
            <w:tcW w:w="3170" w:type="dxa"/>
            <w:shd w:val="clear" w:color="auto" w:fill="FFFFFF"/>
            <w:tcMar>
              <w:top w:w="0" w:type="dxa"/>
              <w:left w:w="0" w:type="dxa"/>
              <w:bottom w:w="0" w:type="dxa"/>
              <w:right w:w="0" w:type="dxa"/>
            </w:tcMar>
            <w:vAlign w:val="center"/>
          </w:tcPr>
          <w:p>
            <w:pPr>
              <w:pStyle w:val="36"/>
            </w:pPr>
            <w:r>
              <w:t>指  标</w:t>
            </w:r>
          </w:p>
        </w:tc>
        <w:tc>
          <w:tcPr>
            <w:tcW w:w="794" w:type="dxa"/>
            <w:shd w:val="clear" w:color="auto" w:fill="FFFFFF"/>
            <w:tcMar>
              <w:top w:w="0" w:type="dxa"/>
              <w:left w:w="0" w:type="dxa"/>
              <w:bottom w:w="0" w:type="dxa"/>
              <w:right w:w="0" w:type="dxa"/>
            </w:tcMar>
            <w:vAlign w:val="center"/>
          </w:tcPr>
          <w:p>
            <w:pPr>
              <w:pStyle w:val="36"/>
            </w:pPr>
            <w:r>
              <w:t>单位</w:t>
            </w:r>
          </w:p>
        </w:tc>
        <w:tc>
          <w:tcPr>
            <w:tcW w:w="993" w:type="dxa"/>
            <w:shd w:val="clear" w:color="auto" w:fill="FFFFFF"/>
            <w:tcMar>
              <w:top w:w="0" w:type="dxa"/>
              <w:left w:w="0" w:type="dxa"/>
              <w:bottom w:w="0" w:type="dxa"/>
              <w:right w:w="0" w:type="dxa"/>
            </w:tcMar>
            <w:vAlign w:val="center"/>
          </w:tcPr>
          <w:p>
            <w:pPr>
              <w:pStyle w:val="36"/>
            </w:pPr>
            <w:r>
              <w:t>2015年</w:t>
            </w:r>
          </w:p>
        </w:tc>
        <w:tc>
          <w:tcPr>
            <w:tcW w:w="1134" w:type="dxa"/>
            <w:shd w:val="clear" w:color="auto" w:fill="FFFFFF"/>
            <w:tcMar>
              <w:top w:w="0" w:type="dxa"/>
              <w:left w:w="0" w:type="dxa"/>
              <w:bottom w:w="0" w:type="dxa"/>
              <w:right w:w="0" w:type="dxa"/>
            </w:tcMar>
            <w:vAlign w:val="center"/>
          </w:tcPr>
          <w:p>
            <w:pPr>
              <w:pStyle w:val="36"/>
            </w:pPr>
            <w:r>
              <w:t>2004年</w:t>
            </w:r>
          </w:p>
        </w:tc>
        <w:tc>
          <w:tcPr>
            <w:tcW w:w="1984" w:type="dxa"/>
            <w:shd w:val="clear" w:color="auto" w:fill="FFFFFF"/>
            <w:tcMar>
              <w:top w:w="0" w:type="dxa"/>
              <w:left w:w="0" w:type="dxa"/>
              <w:bottom w:w="0" w:type="dxa"/>
              <w:right w:w="0" w:type="dxa"/>
            </w:tcMar>
            <w:vAlign w:val="center"/>
          </w:tcPr>
          <w:p>
            <w:pPr>
              <w:pStyle w:val="36"/>
            </w:pPr>
            <w:r>
              <w:t>2015较2004年</w:t>
            </w:r>
          </w:p>
          <w:p>
            <w:pPr>
              <w:pStyle w:val="36"/>
            </w:pPr>
            <w:r>
              <w:t>增(+)减(-)变化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397" w:hRule="atLeast"/>
        </w:trPr>
        <w:tc>
          <w:tcPr>
            <w:tcW w:w="3170" w:type="dxa"/>
            <w:shd w:val="clear" w:color="auto" w:fill="FFFFFF"/>
            <w:tcMar>
              <w:top w:w="0" w:type="dxa"/>
              <w:left w:w="0" w:type="dxa"/>
              <w:bottom w:w="0" w:type="dxa"/>
              <w:right w:w="0" w:type="dxa"/>
            </w:tcMar>
            <w:vAlign w:val="center"/>
          </w:tcPr>
          <w:p>
            <w:pPr>
              <w:pStyle w:val="36"/>
            </w:pPr>
            <w:r>
              <w:t>能源工业占工业总产值比重</w:t>
            </w:r>
          </w:p>
        </w:tc>
        <w:tc>
          <w:tcPr>
            <w:tcW w:w="794" w:type="dxa"/>
            <w:shd w:val="clear" w:color="auto" w:fill="FFFFFF"/>
            <w:tcMar>
              <w:top w:w="0" w:type="dxa"/>
              <w:left w:w="0" w:type="dxa"/>
              <w:bottom w:w="0" w:type="dxa"/>
              <w:right w:w="0" w:type="dxa"/>
            </w:tcMar>
            <w:vAlign w:val="center"/>
          </w:tcPr>
          <w:p>
            <w:pPr>
              <w:pStyle w:val="36"/>
            </w:pPr>
            <w:r>
              <w:t>%</w:t>
            </w:r>
          </w:p>
        </w:tc>
        <w:tc>
          <w:tcPr>
            <w:tcW w:w="993" w:type="dxa"/>
            <w:shd w:val="clear" w:color="auto" w:fill="FFFFFF"/>
            <w:tcMar>
              <w:top w:w="0" w:type="dxa"/>
              <w:left w:w="0" w:type="dxa"/>
              <w:bottom w:w="0" w:type="dxa"/>
              <w:right w:w="0" w:type="dxa"/>
            </w:tcMar>
            <w:vAlign w:val="center"/>
          </w:tcPr>
          <w:p>
            <w:pPr>
              <w:pStyle w:val="36"/>
            </w:pPr>
            <w:r>
              <w:t>29.0</w:t>
            </w:r>
          </w:p>
        </w:tc>
        <w:tc>
          <w:tcPr>
            <w:tcW w:w="1134" w:type="dxa"/>
            <w:shd w:val="clear" w:color="auto" w:fill="FFFFFF"/>
            <w:tcMar>
              <w:top w:w="0" w:type="dxa"/>
              <w:left w:w="0" w:type="dxa"/>
              <w:bottom w:w="0" w:type="dxa"/>
              <w:right w:w="0" w:type="dxa"/>
            </w:tcMar>
            <w:vAlign w:val="center"/>
          </w:tcPr>
          <w:p>
            <w:pPr>
              <w:pStyle w:val="36"/>
            </w:pPr>
            <w:r>
              <w:t>34.4</w:t>
            </w:r>
          </w:p>
        </w:tc>
        <w:tc>
          <w:tcPr>
            <w:tcW w:w="1984" w:type="dxa"/>
            <w:shd w:val="clear" w:color="auto" w:fill="FFFFFF"/>
            <w:tcMar>
              <w:top w:w="0" w:type="dxa"/>
              <w:left w:w="0" w:type="dxa"/>
              <w:bottom w:w="0" w:type="dxa"/>
              <w:right w:w="0" w:type="dxa"/>
            </w:tcMar>
            <w:vAlign w:val="center"/>
          </w:tcPr>
          <w:p>
            <w:pPr>
              <w:pStyle w:val="36"/>
            </w:pPr>
            <w: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397" w:hRule="atLeast"/>
        </w:trPr>
        <w:tc>
          <w:tcPr>
            <w:tcW w:w="3170" w:type="dxa"/>
            <w:shd w:val="clear" w:color="auto" w:fill="FFFFFF"/>
            <w:tcMar>
              <w:top w:w="0" w:type="dxa"/>
              <w:left w:w="0" w:type="dxa"/>
              <w:bottom w:w="0" w:type="dxa"/>
              <w:right w:w="0" w:type="dxa"/>
            </w:tcMar>
            <w:vAlign w:val="center"/>
          </w:tcPr>
          <w:p>
            <w:pPr>
              <w:pStyle w:val="36"/>
            </w:pPr>
            <w:r>
              <w:t>化工工业占工业总产值比重</w:t>
            </w:r>
          </w:p>
        </w:tc>
        <w:tc>
          <w:tcPr>
            <w:tcW w:w="794" w:type="dxa"/>
            <w:shd w:val="clear" w:color="auto" w:fill="FFFFFF"/>
            <w:tcMar>
              <w:top w:w="0" w:type="dxa"/>
              <w:left w:w="0" w:type="dxa"/>
              <w:bottom w:w="0" w:type="dxa"/>
              <w:right w:w="0" w:type="dxa"/>
            </w:tcMar>
            <w:vAlign w:val="center"/>
          </w:tcPr>
          <w:p>
            <w:pPr>
              <w:pStyle w:val="36"/>
            </w:pPr>
            <w:r>
              <w:t>%</w:t>
            </w:r>
          </w:p>
        </w:tc>
        <w:tc>
          <w:tcPr>
            <w:tcW w:w="993" w:type="dxa"/>
            <w:shd w:val="clear" w:color="auto" w:fill="FFFFFF"/>
            <w:tcMar>
              <w:top w:w="0" w:type="dxa"/>
              <w:left w:w="0" w:type="dxa"/>
              <w:bottom w:w="0" w:type="dxa"/>
              <w:right w:w="0" w:type="dxa"/>
            </w:tcMar>
            <w:vAlign w:val="center"/>
          </w:tcPr>
          <w:p>
            <w:pPr>
              <w:pStyle w:val="36"/>
            </w:pPr>
            <w:r>
              <w:t>9.4</w:t>
            </w:r>
          </w:p>
        </w:tc>
        <w:tc>
          <w:tcPr>
            <w:tcW w:w="1134" w:type="dxa"/>
            <w:shd w:val="clear" w:color="auto" w:fill="FFFFFF"/>
            <w:tcMar>
              <w:top w:w="0" w:type="dxa"/>
              <w:left w:w="0" w:type="dxa"/>
              <w:bottom w:w="0" w:type="dxa"/>
              <w:right w:w="0" w:type="dxa"/>
            </w:tcMar>
            <w:vAlign w:val="center"/>
          </w:tcPr>
          <w:p>
            <w:pPr>
              <w:pStyle w:val="36"/>
            </w:pPr>
            <w:r>
              <w:t>9.5</w:t>
            </w:r>
          </w:p>
        </w:tc>
        <w:tc>
          <w:tcPr>
            <w:tcW w:w="1984" w:type="dxa"/>
            <w:shd w:val="clear" w:color="auto" w:fill="FFFFFF"/>
            <w:tcMar>
              <w:top w:w="0" w:type="dxa"/>
              <w:left w:w="0" w:type="dxa"/>
              <w:bottom w:w="0" w:type="dxa"/>
              <w:right w:w="0" w:type="dxa"/>
            </w:tcMar>
            <w:vAlign w:val="center"/>
          </w:tcPr>
          <w:p>
            <w:pPr>
              <w:pStyle w:val="36"/>
            </w:pPr>
            <w: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397" w:hRule="atLeast"/>
        </w:trPr>
        <w:tc>
          <w:tcPr>
            <w:tcW w:w="3170" w:type="dxa"/>
            <w:shd w:val="clear" w:color="auto" w:fill="FFFFFF"/>
            <w:tcMar>
              <w:top w:w="0" w:type="dxa"/>
              <w:left w:w="0" w:type="dxa"/>
              <w:bottom w:w="0" w:type="dxa"/>
              <w:right w:w="0" w:type="dxa"/>
            </w:tcMar>
            <w:vAlign w:val="center"/>
          </w:tcPr>
          <w:p>
            <w:pPr>
              <w:pStyle w:val="36"/>
            </w:pPr>
            <w:r>
              <w:t>装备制造业占工业总产值比重</w:t>
            </w:r>
          </w:p>
        </w:tc>
        <w:tc>
          <w:tcPr>
            <w:tcW w:w="794" w:type="dxa"/>
            <w:shd w:val="clear" w:color="auto" w:fill="FFFFFF"/>
            <w:tcMar>
              <w:top w:w="0" w:type="dxa"/>
              <w:left w:w="0" w:type="dxa"/>
              <w:bottom w:w="0" w:type="dxa"/>
              <w:right w:w="0" w:type="dxa"/>
            </w:tcMar>
            <w:vAlign w:val="center"/>
          </w:tcPr>
          <w:p>
            <w:pPr>
              <w:pStyle w:val="36"/>
            </w:pPr>
            <w:r>
              <w:t>%</w:t>
            </w:r>
          </w:p>
        </w:tc>
        <w:tc>
          <w:tcPr>
            <w:tcW w:w="993" w:type="dxa"/>
            <w:shd w:val="clear" w:color="auto" w:fill="FFFFFF"/>
            <w:tcMar>
              <w:top w:w="0" w:type="dxa"/>
              <w:left w:w="0" w:type="dxa"/>
              <w:bottom w:w="0" w:type="dxa"/>
              <w:right w:w="0" w:type="dxa"/>
            </w:tcMar>
            <w:vAlign w:val="center"/>
          </w:tcPr>
          <w:p>
            <w:pPr>
              <w:pStyle w:val="36"/>
            </w:pPr>
            <w:r>
              <w:t>6.4</w:t>
            </w:r>
          </w:p>
        </w:tc>
        <w:tc>
          <w:tcPr>
            <w:tcW w:w="1134" w:type="dxa"/>
            <w:shd w:val="clear" w:color="auto" w:fill="FFFFFF"/>
            <w:tcMar>
              <w:top w:w="0" w:type="dxa"/>
              <w:left w:w="0" w:type="dxa"/>
              <w:bottom w:w="0" w:type="dxa"/>
              <w:right w:w="0" w:type="dxa"/>
            </w:tcMar>
            <w:vAlign w:val="center"/>
          </w:tcPr>
          <w:p>
            <w:pPr>
              <w:pStyle w:val="36"/>
            </w:pPr>
            <w:r>
              <w:t>5.5</w:t>
            </w:r>
          </w:p>
        </w:tc>
        <w:tc>
          <w:tcPr>
            <w:tcW w:w="1984" w:type="dxa"/>
            <w:shd w:val="clear" w:color="auto" w:fill="FFFFFF"/>
            <w:tcMar>
              <w:top w:w="0" w:type="dxa"/>
              <w:left w:w="0" w:type="dxa"/>
              <w:bottom w:w="0" w:type="dxa"/>
              <w:right w:w="0" w:type="dxa"/>
            </w:tcMar>
            <w:vAlign w:val="center"/>
          </w:tcPr>
          <w:p>
            <w:pPr>
              <w:pStyle w:val="36"/>
            </w:pPr>
            <w: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397" w:hRule="atLeast"/>
        </w:trPr>
        <w:tc>
          <w:tcPr>
            <w:tcW w:w="3170" w:type="dxa"/>
            <w:shd w:val="clear" w:color="auto" w:fill="FFFFFF"/>
            <w:tcMar>
              <w:top w:w="0" w:type="dxa"/>
              <w:left w:w="0" w:type="dxa"/>
              <w:bottom w:w="0" w:type="dxa"/>
              <w:right w:w="0" w:type="dxa"/>
            </w:tcMar>
            <w:vAlign w:val="center"/>
          </w:tcPr>
          <w:p>
            <w:pPr>
              <w:pStyle w:val="36"/>
            </w:pPr>
            <w:r>
              <w:t>食品工业占工业总产值比重</w:t>
            </w:r>
          </w:p>
        </w:tc>
        <w:tc>
          <w:tcPr>
            <w:tcW w:w="794" w:type="dxa"/>
            <w:shd w:val="clear" w:color="auto" w:fill="FFFFFF"/>
            <w:tcMar>
              <w:top w:w="0" w:type="dxa"/>
              <w:left w:w="0" w:type="dxa"/>
              <w:bottom w:w="0" w:type="dxa"/>
              <w:right w:w="0" w:type="dxa"/>
            </w:tcMar>
            <w:vAlign w:val="center"/>
          </w:tcPr>
          <w:p>
            <w:pPr>
              <w:pStyle w:val="36"/>
            </w:pPr>
            <w:r>
              <w:t>%</w:t>
            </w:r>
          </w:p>
        </w:tc>
        <w:tc>
          <w:tcPr>
            <w:tcW w:w="993" w:type="dxa"/>
            <w:shd w:val="clear" w:color="auto" w:fill="FFFFFF"/>
            <w:tcMar>
              <w:top w:w="0" w:type="dxa"/>
              <w:left w:w="0" w:type="dxa"/>
              <w:bottom w:w="0" w:type="dxa"/>
              <w:right w:w="0" w:type="dxa"/>
            </w:tcMar>
            <w:vAlign w:val="center"/>
          </w:tcPr>
          <w:p>
            <w:pPr>
              <w:pStyle w:val="36"/>
            </w:pPr>
            <w:r>
              <w:t>10.0</w:t>
            </w:r>
          </w:p>
        </w:tc>
        <w:tc>
          <w:tcPr>
            <w:tcW w:w="1134" w:type="dxa"/>
            <w:shd w:val="clear" w:color="auto" w:fill="FFFFFF"/>
            <w:tcMar>
              <w:top w:w="0" w:type="dxa"/>
              <w:left w:w="0" w:type="dxa"/>
              <w:bottom w:w="0" w:type="dxa"/>
              <w:right w:w="0" w:type="dxa"/>
            </w:tcMar>
            <w:vAlign w:val="center"/>
          </w:tcPr>
          <w:p>
            <w:pPr>
              <w:pStyle w:val="36"/>
            </w:pPr>
            <w:r>
              <w:t>9.2</w:t>
            </w:r>
          </w:p>
        </w:tc>
        <w:tc>
          <w:tcPr>
            <w:tcW w:w="1984" w:type="dxa"/>
            <w:shd w:val="clear" w:color="auto" w:fill="FFFFFF"/>
            <w:tcMar>
              <w:top w:w="0" w:type="dxa"/>
              <w:left w:w="0" w:type="dxa"/>
              <w:bottom w:w="0" w:type="dxa"/>
              <w:right w:w="0" w:type="dxa"/>
            </w:tcMar>
            <w:vAlign w:val="center"/>
          </w:tcPr>
          <w:p>
            <w:pPr>
              <w:pStyle w:val="36"/>
            </w:pPr>
            <w: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397" w:hRule="atLeast"/>
        </w:trPr>
        <w:tc>
          <w:tcPr>
            <w:tcW w:w="3170" w:type="dxa"/>
            <w:shd w:val="clear" w:color="auto" w:fill="FFFFFF"/>
            <w:tcMar>
              <w:top w:w="0" w:type="dxa"/>
              <w:left w:w="0" w:type="dxa"/>
              <w:bottom w:w="0" w:type="dxa"/>
              <w:right w:w="0" w:type="dxa"/>
            </w:tcMar>
            <w:vAlign w:val="center"/>
          </w:tcPr>
          <w:p>
            <w:pPr>
              <w:pStyle w:val="36"/>
            </w:pPr>
            <w:r>
              <w:t>非金属矿物制品业占工业比重</w:t>
            </w:r>
          </w:p>
        </w:tc>
        <w:tc>
          <w:tcPr>
            <w:tcW w:w="794" w:type="dxa"/>
            <w:shd w:val="clear" w:color="auto" w:fill="FFFFFF"/>
            <w:tcMar>
              <w:top w:w="0" w:type="dxa"/>
              <w:left w:w="0" w:type="dxa"/>
              <w:bottom w:w="0" w:type="dxa"/>
              <w:right w:w="0" w:type="dxa"/>
            </w:tcMar>
            <w:vAlign w:val="center"/>
          </w:tcPr>
          <w:p>
            <w:pPr>
              <w:pStyle w:val="36"/>
            </w:pPr>
            <w:r>
              <w:t>%</w:t>
            </w:r>
          </w:p>
        </w:tc>
        <w:tc>
          <w:tcPr>
            <w:tcW w:w="993" w:type="dxa"/>
            <w:shd w:val="clear" w:color="auto" w:fill="FFFFFF"/>
            <w:tcMar>
              <w:top w:w="0" w:type="dxa"/>
              <w:left w:w="0" w:type="dxa"/>
              <w:bottom w:w="0" w:type="dxa"/>
              <w:right w:w="0" w:type="dxa"/>
            </w:tcMar>
            <w:vAlign w:val="center"/>
          </w:tcPr>
          <w:p>
            <w:pPr>
              <w:pStyle w:val="36"/>
            </w:pPr>
            <w:r>
              <w:t>5.9</w:t>
            </w:r>
          </w:p>
        </w:tc>
        <w:tc>
          <w:tcPr>
            <w:tcW w:w="1134" w:type="dxa"/>
            <w:shd w:val="clear" w:color="auto" w:fill="FFFFFF"/>
            <w:tcMar>
              <w:top w:w="0" w:type="dxa"/>
              <w:left w:w="0" w:type="dxa"/>
              <w:bottom w:w="0" w:type="dxa"/>
              <w:right w:w="0" w:type="dxa"/>
            </w:tcMar>
            <w:vAlign w:val="center"/>
          </w:tcPr>
          <w:p>
            <w:pPr>
              <w:pStyle w:val="36"/>
            </w:pPr>
            <w:r>
              <w:t>2.4</w:t>
            </w:r>
          </w:p>
        </w:tc>
        <w:tc>
          <w:tcPr>
            <w:tcW w:w="1984" w:type="dxa"/>
            <w:shd w:val="clear" w:color="auto" w:fill="FFFFFF"/>
            <w:tcMar>
              <w:top w:w="0" w:type="dxa"/>
              <w:left w:w="0" w:type="dxa"/>
              <w:bottom w:w="0" w:type="dxa"/>
              <w:right w:w="0" w:type="dxa"/>
            </w:tcMar>
            <w:vAlign w:val="center"/>
          </w:tcPr>
          <w:p>
            <w:pPr>
              <w:pStyle w:val="36"/>
            </w:pPr>
            <w: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397" w:hRule="atLeast"/>
        </w:trPr>
        <w:tc>
          <w:tcPr>
            <w:tcW w:w="3170" w:type="dxa"/>
            <w:shd w:val="clear" w:color="auto" w:fill="FFFFFF"/>
            <w:tcMar>
              <w:top w:w="0" w:type="dxa"/>
              <w:left w:w="0" w:type="dxa"/>
              <w:bottom w:w="0" w:type="dxa"/>
              <w:right w:w="0" w:type="dxa"/>
            </w:tcMar>
            <w:vAlign w:val="center"/>
          </w:tcPr>
          <w:p>
            <w:pPr>
              <w:pStyle w:val="36"/>
            </w:pPr>
            <w:r>
              <w:t>有色冶金工业占总产值比重</w:t>
            </w:r>
          </w:p>
        </w:tc>
        <w:tc>
          <w:tcPr>
            <w:tcW w:w="794" w:type="dxa"/>
            <w:shd w:val="clear" w:color="auto" w:fill="FFFFFF"/>
            <w:tcMar>
              <w:top w:w="0" w:type="dxa"/>
              <w:left w:w="0" w:type="dxa"/>
              <w:bottom w:w="0" w:type="dxa"/>
              <w:right w:w="0" w:type="dxa"/>
            </w:tcMar>
            <w:vAlign w:val="center"/>
          </w:tcPr>
          <w:p>
            <w:pPr>
              <w:pStyle w:val="36"/>
            </w:pPr>
            <w:r>
              <w:t>%</w:t>
            </w:r>
          </w:p>
        </w:tc>
        <w:tc>
          <w:tcPr>
            <w:tcW w:w="993" w:type="dxa"/>
            <w:shd w:val="clear" w:color="auto" w:fill="FFFFFF"/>
            <w:tcMar>
              <w:top w:w="0" w:type="dxa"/>
              <w:left w:w="0" w:type="dxa"/>
              <w:bottom w:w="0" w:type="dxa"/>
              <w:right w:w="0" w:type="dxa"/>
            </w:tcMar>
            <w:vAlign w:val="center"/>
          </w:tcPr>
          <w:p>
            <w:pPr>
              <w:pStyle w:val="36"/>
            </w:pPr>
            <w:r>
              <w:t>36.1</w:t>
            </w:r>
          </w:p>
        </w:tc>
        <w:tc>
          <w:tcPr>
            <w:tcW w:w="1134" w:type="dxa"/>
            <w:shd w:val="clear" w:color="auto" w:fill="FFFFFF"/>
            <w:tcMar>
              <w:top w:w="0" w:type="dxa"/>
              <w:left w:w="0" w:type="dxa"/>
              <w:bottom w:w="0" w:type="dxa"/>
              <w:right w:w="0" w:type="dxa"/>
            </w:tcMar>
            <w:vAlign w:val="center"/>
          </w:tcPr>
          <w:p>
            <w:pPr>
              <w:pStyle w:val="36"/>
            </w:pPr>
            <w:r>
              <w:t>35.4</w:t>
            </w:r>
          </w:p>
        </w:tc>
        <w:tc>
          <w:tcPr>
            <w:tcW w:w="1984" w:type="dxa"/>
            <w:shd w:val="clear" w:color="auto" w:fill="FFFFFF"/>
            <w:tcMar>
              <w:top w:w="0" w:type="dxa"/>
              <w:left w:w="0" w:type="dxa"/>
              <w:bottom w:w="0" w:type="dxa"/>
              <w:right w:w="0" w:type="dxa"/>
            </w:tcMar>
            <w:vAlign w:val="center"/>
          </w:tcPr>
          <w:p>
            <w:pPr>
              <w:pStyle w:val="36"/>
            </w:pPr>
            <w:r>
              <w:t>0.8</w:t>
            </w:r>
          </w:p>
        </w:tc>
      </w:tr>
    </w:tbl>
    <w:p>
      <w:pPr>
        <w:pStyle w:val="128"/>
      </w:pPr>
    </w:p>
    <w:p>
      <w:pPr>
        <w:pStyle w:val="128"/>
      </w:pPr>
      <w:r>
        <w:t>2015年工业总产值中，能源工业占29%，化工工业占9.4%，装备制造工业占6.4%，食品工业占10%，非金属矿物制品业占5.9%，有色冶金工业占36.1%。有色冶金和能源工业占全市规模工业总产值的65%左右，成为全市工业的主导行业。以3D打印等高新技术为主的装备制造业正在兴起，传统优势行业食品、非金属矿物制品等工业通过重组改造焕发出新的活力，工业产业结构调整逐步向好。</w:t>
      </w:r>
    </w:p>
    <w:p>
      <w:pPr>
        <w:pStyle w:val="128"/>
      </w:pPr>
      <w:r>
        <w:rPr>
          <w:rFonts w:hint="eastAsia"/>
        </w:rPr>
        <w:t>渭南市新型工业化步伐加快，能源化工向中高端延伸，3D打印、新能源汽车等战略新兴产业起步良好，非能工业产值占比提高8个百分点，渭南高新区获批国家新材料高新技术产业化基地。渭南经开区、韩城经开区晋升省级开发区，富平新兴产业园、蒲城工业园获批省级高新技术开发区，全市工业园区发展到20个，入驻企业近千户。企业上市实现突破，黑猫焦化、伟恒生物、红星美羚上市融资。</w:t>
      </w:r>
    </w:p>
    <w:p>
      <w:pPr>
        <w:pStyle w:val="129"/>
      </w:pPr>
      <w:r>
        <w:drawing>
          <wp:inline distT="0" distB="0" distL="0" distR="0">
            <wp:extent cx="4060190" cy="4994910"/>
            <wp:effectExtent l="19050" t="19050" r="16510" b="15240"/>
            <wp:docPr id="6" name="图片 6" descr="工业园区布局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工业园区布局图"/>
                    <pic:cNvPicPr>
                      <a:picLocks noChangeAspect="1" noChangeArrowheads="1"/>
                    </pic:cNvPicPr>
                  </pic:nvPicPr>
                  <pic:blipFill>
                    <a:blip r:embed="rId30" cstate="print">
                      <a:extLst>
                        <a:ext uri="{28A0092B-C50C-407E-A947-70E740481C1C}">
                          <a14:useLocalDpi xmlns:a14="http://schemas.microsoft.com/office/drawing/2010/main" val="0"/>
                        </a:ext>
                      </a:extLst>
                    </a:blip>
                    <a:srcRect r="2856"/>
                    <a:stretch>
                      <a:fillRect/>
                    </a:stretch>
                  </pic:blipFill>
                  <pic:spPr>
                    <a:xfrm>
                      <a:off x="0" y="0"/>
                      <a:ext cx="4060190" cy="4994910"/>
                    </a:xfrm>
                    <a:prstGeom prst="rect">
                      <a:avLst/>
                    </a:prstGeom>
                    <a:noFill/>
                    <a:ln w="6350" cmpd="sng">
                      <a:solidFill>
                        <a:srgbClr val="000000"/>
                      </a:solidFill>
                      <a:miter lim="800000"/>
                      <a:headEnd/>
                      <a:tailEnd/>
                    </a:ln>
                    <a:effectLst/>
                  </pic:spPr>
                </pic:pic>
              </a:graphicData>
            </a:graphic>
          </wp:inline>
        </w:drawing>
      </w:r>
    </w:p>
    <w:p>
      <w:pPr>
        <w:pStyle w:val="137"/>
        <w:numPr>
          <w:ilvl w:val="0"/>
          <w:numId w:val="11"/>
        </w:numPr>
      </w:pPr>
      <w:r>
        <w:rPr>
          <w:rFonts w:hint="eastAsia"/>
        </w:rPr>
        <w:t>渭南市域各主要工业园区分布图</w:t>
      </w:r>
    </w:p>
    <w:p>
      <w:pPr>
        <w:pStyle w:val="126"/>
      </w:pPr>
      <w:r>
        <w:t>新能源产业</w:t>
      </w:r>
      <w:r>
        <w:rPr>
          <w:rFonts w:hint="eastAsia"/>
        </w:rPr>
        <w:t>发展</w:t>
      </w:r>
      <w:r>
        <w:t>现状</w:t>
      </w:r>
    </w:p>
    <w:p>
      <w:pPr>
        <w:pStyle w:val="127"/>
      </w:pPr>
      <w:r>
        <w:rPr>
          <w:rFonts w:hint="eastAsia"/>
        </w:rPr>
        <w:t>光伏发电产业</w:t>
      </w:r>
      <w:r>
        <w:t>发展现状</w:t>
      </w:r>
    </w:p>
    <w:p>
      <w:pPr>
        <w:pStyle w:val="128"/>
      </w:pPr>
      <w:r>
        <w:rPr>
          <w:rFonts w:hint="eastAsia"/>
        </w:rPr>
        <w:t>目前，渭南市已建成营运太阳能光伏电站5个，总装机</w:t>
      </w:r>
      <w:r>
        <w:t>21</w:t>
      </w:r>
      <w:r>
        <w:rPr>
          <w:rFonts w:hint="eastAsia"/>
        </w:rPr>
        <w:t>0MW,总投资约19亿元，年均发电量约2.3亿千瓦时，产值约2.3亿元，税收约0.5亿元，带动就业人数600余人。已建成并备案自然人分布式光伏发电项目27户，总装机365.9k</w:t>
      </w:r>
      <w:r>
        <w:t>W</w:t>
      </w:r>
      <w:r>
        <w:rPr>
          <w:rFonts w:hint="eastAsia"/>
        </w:rPr>
        <w:t>，平均每户年增收1.3万元。正在建设光伏发电项目10个，总装机209.8MW，开展前期工作项目13个，总装机465MW。</w:t>
      </w:r>
    </w:p>
    <w:p>
      <w:pPr>
        <w:pStyle w:val="132"/>
        <w:numPr>
          <w:ilvl w:val="0"/>
          <w:numId w:val="10"/>
        </w:numPr>
        <w:adjustRightInd w:val="0"/>
        <w:snapToGrid w:val="0"/>
      </w:pPr>
      <w:r>
        <w:rPr>
          <w:rFonts w:hint="eastAsia"/>
        </w:rPr>
        <w:t>渭南市已建成光伏电站项目统计表</w:t>
      </w:r>
    </w:p>
    <w:tbl>
      <w:tblPr>
        <w:tblStyle w:val="45"/>
        <w:tblW w:w="8733" w:type="dxa"/>
        <w:tblInd w:w="0" w:type="dxa"/>
        <w:tblLayout w:type="fixed"/>
        <w:tblCellMar>
          <w:top w:w="0" w:type="dxa"/>
          <w:left w:w="0" w:type="dxa"/>
          <w:bottom w:w="0" w:type="dxa"/>
          <w:right w:w="0" w:type="dxa"/>
        </w:tblCellMar>
      </w:tblPr>
      <w:tblGrid>
        <w:gridCol w:w="727"/>
        <w:gridCol w:w="2398"/>
        <w:gridCol w:w="2379"/>
        <w:gridCol w:w="1191"/>
        <w:gridCol w:w="2038"/>
      </w:tblGrid>
      <w:tr>
        <w:tblPrEx>
          <w:tblLayout w:type="fixed"/>
          <w:tblCellMar>
            <w:top w:w="0" w:type="dxa"/>
            <w:left w:w="0" w:type="dxa"/>
            <w:bottom w:w="0" w:type="dxa"/>
            <w:right w:w="0" w:type="dxa"/>
          </w:tblCellMar>
        </w:tblPrEx>
        <w:trPr>
          <w:trHeight w:val="397" w:hRule="atLeast"/>
          <w:tblHeader/>
        </w:trPr>
        <w:tc>
          <w:tcPr>
            <w:tcW w:w="727" w:type="dxa"/>
            <w:tcBorders>
              <w:top w:val="single" w:color="000000" w:sz="8" w:space="0"/>
              <w:left w:val="single" w:color="000000" w:sz="8" w:space="0"/>
              <w:bottom w:val="single" w:color="000000" w:sz="8" w:space="0"/>
              <w:right w:val="single" w:color="auto" w:sz="4" w:space="0"/>
            </w:tcBorders>
            <w:shd w:val="clear" w:color="auto" w:fill="auto"/>
            <w:tcMar>
              <w:top w:w="72" w:type="dxa"/>
              <w:left w:w="144" w:type="dxa"/>
              <w:bottom w:w="72" w:type="dxa"/>
              <w:right w:w="144" w:type="dxa"/>
            </w:tcMar>
            <w:vAlign w:val="center"/>
          </w:tcPr>
          <w:p>
            <w:pPr>
              <w:pStyle w:val="36"/>
            </w:pPr>
            <w:r>
              <w:rPr>
                <w:rFonts w:hint="eastAsia"/>
              </w:rPr>
              <w:t>序号</w:t>
            </w:r>
          </w:p>
        </w:tc>
        <w:tc>
          <w:tcPr>
            <w:tcW w:w="2398" w:type="dxa"/>
            <w:tcBorders>
              <w:top w:val="single" w:color="000000" w:sz="8" w:space="0"/>
              <w:left w:val="single" w:color="auto" w:sz="4"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t>项目</w:t>
            </w:r>
            <w:r>
              <w:rPr>
                <w:rFonts w:hint="eastAsia"/>
              </w:rPr>
              <w:t>名称</w:t>
            </w:r>
          </w:p>
        </w:tc>
        <w:tc>
          <w:tcPr>
            <w:tcW w:w="2379" w:type="dxa"/>
            <w:tcBorders>
              <w:top w:val="single" w:color="000000" w:sz="8" w:space="0"/>
              <w:left w:val="single" w:color="000000" w:sz="8"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项目业主</w:t>
            </w:r>
          </w:p>
        </w:tc>
        <w:tc>
          <w:tcPr>
            <w:tcW w:w="1191" w:type="dxa"/>
            <w:tcBorders>
              <w:top w:val="single" w:color="000000" w:sz="8" w:space="0"/>
              <w:left w:val="single" w:color="000000" w:sz="8"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建设规模</w:t>
            </w:r>
          </w:p>
          <w:p>
            <w:pPr>
              <w:pStyle w:val="36"/>
            </w:pPr>
            <w:r>
              <w:rPr>
                <w:rFonts w:hint="eastAsia"/>
              </w:rPr>
              <w:t>（M</w:t>
            </w:r>
            <w:r>
              <w:t>W</w:t>
            </w:r>
            <w:r>
              <w:rPr>
                <w:rFonts w:hint="eastAsia"/>
              </w:rPr>
              <w:t>）</w:t>
            </w:r>
          </w:p>
        </w:tc>
        <w:tc>
          <w:tcPr>
            <w:tcW w:w="2038" w:type="dxa"/>
            <w:tcBorders>
              <w:top w:val="single" w:color="000000" w:sz="8" w:space="0"/>
              <w:left w:val="single" w:color="000000" w:sz="8"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并网</w:t>
            </w:r>
            <w:r>
              <w:t>日期</w:t>
            </w:r>
          </w:p>
        </w:tc>
      </w:tr>
      <w:tr>
        <w:tblPrEx>
          <w:tblLayout w:type="fixed"/>
          <w:tblCellMar>
            <w:top w:w="0" w:type="dxa"/>
            <w:left w:w="0" w:type="dxa"/>
            <w:bottom w:w="0" w:type="dxa"/>
            <w:right w:w="0" w:type="dxa"/>
          </w:tblCellMar>
        </w:tblPrEx>
        <w:trPr>
          <w:trHeight w:val="397" w:hRule="atLeast"/>
        </w:trPr>
        <w:tc>
          <w:tcPr>
            <w:tcW w:w="727" w:type="dxa"/>
            <w:tcBorders>
              <w:top w:val="single" w:color="000000" w:sz="8" w:space="0"/>
              <w:left w:val="single" w:color="000000" w:sz="8" w:space="0"/>
              <w:bottom w:val="single" w:color="000000" w:sz="8" w:space="0"/>
              <w:right w:val="single" w:color="auto" w:sz="4" w:space="0"/>
            </w:tcBorders>
            <w:shd w:val="clear" w:color="auto" w:fill="auto"/>
            <w:tcMar>
              <w:top w:w="72" w:type="dxa"/>
              <w:left w:w="144" w:type="dxa"/>
              <w:bottom w:w="72" w:type="dxa"/>
              <w:right w:w="144" w:type="dxa"/>
            </w:tcMar>
            <w:vAlign w:val="center"/>
          </w:tcPr>
          <w:p>
            <w:pPr>
              <w:pStyle w:val="36"/>
            </w:pPr>
            <w:r>
              <w:rPr>
                <w:rFonts w:hint="eastAsia"/>
              </w:rPr>
              <w:t>1</w:t>
            </w:r>
          </w:p>
        </w:tc>
        <w:tc>
          <w:tcPr>
            <w:tcW w:w="2398" w:type="dxa"/>
            <w:tcBorders>
              <w:top w:val="single" w:color="000000" w:sz="8" w:space="0"/>
              <w:left w:val="single" w:color="auto" w:sz="4"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陕西合阳桂花清洁能源有限公司合阳50兆瓦光伏电站项目</w:t>
            </w:r>
          </w:p>
        </w:tc>
        <w:tc>
          <w:tcPr>
            <w:tcW w:w="2379" w:type="dxa"/>
            <w:tcBorders>
              <w:top w:val="single" w:color="000000" w:sz="8" w:space="0"/>
              <w:left w:val="single" w:color="000000" w:sz="8"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陕西合阳桂花清洁能源有限公司</w:t>
            </w:r>
          </w:p>
        </w:tc>
        <w:tc>
          <w:tcPr>
            <w:tcW w:w="1191" w:type="dxa"/>
            <w:tcBorders>
              <w:top w:val="single" w:color="000000" w:sz="8" w:space="0"/>
              <w:left w:val="single" w:color="000000" w:sz="8"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50</w:t>
            </w:r>
          </w:p>
        </w:tc>
        <w:tc>
          <w:tcPr>
            <w:tcW w:w="2038" w:type="dxa"/>
            <w:tcBorders>
              <w:top w:val="single" w:color="000000" w:sz="8" w:space="0"/>
              <w:left w:val="single" w:color="000000" w:sz="8"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2015年9月26日</w:t>
            </w:r>
          </w:p>
        </w:tc>
      </w:tr>
      <w:tr>
        <w:tblPrEx>
          <w:tblLayout w:type="fixed"/>
          <w:tblCellMar>
            <w:top w:w="0" w:type="dxa"/>
            <w:left w:w="0" w:type="dxa"/>
            <w:bottom w:w="0" w:type="dxa"/>
            <w:right w:w="0" w:type="dxa"/>
          </w:tblCellMar>
        </w:tblPrEx>
        <w:trPr>
          <w:trHeight w:val="397" w:hRule="atLeast"/>
        </w:trPr>
        <w:tc>
          <w:tcPr>
            <w:tcW w:w="727" w:type="dxa"/>
            <w:tcBorders>
              <w:top w:val="single" w:color="000000" w:sz="8" w:space="0"/>
              <w:left w:val="single" w:color="000000" w:sz="8" w:space="0"/>
              <w:bottom w:val="single" w:color="000000" w:sz="8" w:space="0"/>
              <w:right w:val="single" w:color="auto" w:sz="4" w:space="0"/>
            </w:tcBorders>
            <w:shd w:val="clear" w:color="auto" w:fill="auto"/>
            <w:tcMar>
              <w:top w:w="72" w:type="dxa"/>
              <w:left w:w="144" w:type="dxa"/>
              <w:bottom w:w="72" w:type="dxa"/>
              <w:right w:w="144" w:type="dxa"/>
            </w:tcMar>
            <w:vAlign w:val="center"/>
          </w:tcPr>
          <w:p>
            <w:pPr>
              <w:pStyle w:val="36"/>
            </w:pPr>
            <w:r>
              <w:rPr>
                <w:rFonts w:hint="eastAsia"/>
              </w:rPr>
              <w:t>2</w:t>
            </w:r>
          </w:p>
        </w:tc>
        <w:tc>
          <w:tcPr>
            <w:tcW w:w="2398" w:type="dxa"/>
            <w:tcBorders>
              <w:top w:val="single" w:color="000000" w:sz="8" w:space="0"/>
              <w:left w:val="single" w:color="auto" w:sz="4"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桂花清洁能源合阳光伏电站二期50兆瓦项目</w:t>
            </w:r>
          </w:p>
        </w:tc>
        <w:tc>
          <w:tcPr>
            <w:tcW w:w="2379" w:type="dxa"/>
            <w:tcBorders>
              <w:top w:val="single" w:color="000000" w:sz="8" w:space="0"/>
              <w:left w:val="single" w:color="000000" w:sz="8"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陕西合阳桂花清洁能源有限公司</w:t>
            </w:r>
          </w:p>
        </w:tc>
        <w:tc>
          <w:tcPr>
            <w:tcW w:w="1191" w:type="dxa"/>
            <w:tcBorders>
              <w:top w:val="single" w:color="000000" w:sz="8" w:space="0"/>
              <w:left w:val="single" w:color="000000" w:sz="8"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50</w:t>
            </w:r>
          </w:p>
        </w:tc>
        <w:tc>
          <w:tcPr>
            <w:tcW w:w="2038" w:type="dxa"/>
            <w:tcBorders>
              <w:top w:val="single" w:color="000000" w:sz="8" w:space="0"/>
              <w:left w:val="single" w:color="000000" w:sz="8"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t>2016</w:t>
            </w:r>
            <w:r>
              <w:rPr>
                <w:rFonts w:hint="eastAsia"/>
              </w:rPr>
              <w:t>年</w:t>
            </w:r>
            <w:r>
              <w:t>5</w:t>
            </w:r>
            <w:r>
              <w:rPr>
                <w:rFonts w:hint="eastAsia"/>
              </w:rPr>
              <w:t>月</w:t>
            </w:r>
            <w:r>
              <w:t>13</w:t>
            </w:r>
            <w:r>
              <w:rPr>
                <w:rFonts w:hint="eastAsia"/>
              </w:rPr>
              <w:t>日</w:t>
            </w:r>
          </w:p>
        </w:tc>
      </w:tr>
      <w:tr>
        <w:tblPrEx>
          <w:tblLayout w:type="fixed"/>
          <w:tblCellMar>
            <w:top w:w="0" w:type="dxa"/>
            <w:left w:w="0" w:type="dxa"/>
            <w:bottom w:w="0" w:type="dxa"/>
            <w:right w:w="0" w:type="dxa"/>
          </w:tblCellMar>
        </w:tblPrEx>
        <w:trPr>
          <w:trHeight w:val="397" w:hRule="atLeast"/>
        </w:trPr>
        <w:tc>
          <w:tcPr>
            <w:tcW w:w="727" w:type="dxa"/>
            <w:tcBorders>
              <w:top w:val="single" w:color="000000" w:sz="8" w:space="0"/>
              <w:left w:val="single" w:color="000000" w:sz="8" w:space="0"/>
              <w:bottom w:val="single" w:color="000000" w:sz="8" w:space="0"/>
              <w:right w:val="single" w:color="auto" w:sz="4" w:space="0"/>
            </w:tcBorders>
            <w:shd w:val="clear" w:color="auto" w:fill="auto"/>
            <w:tcMar>
              <w:top w:w="72" w:type="dxa"/>
              <w:left w:w="144" w:type="dxa"/>
              <w:bottom w:w="72" w:type="dxa"/>
              <w:right w:w="144" w:type="dxa"/>
            </w:tcMar>
            <w:vAlign w:val="center"/>
          </w:tcPr>
          <w:p>
            <w:pPr>
              <w:pStyle w:val="36"/>
            </w:pPr>
            <w:r>
              <w:rPr>
                <w:rFonts w:hint="eastAsia"/>
              </w:rPr>
              <w:t>3</w:t>
            </w:r>
          </w:p>
        </w:tc>
        <w:tc>
          <w:tcPr>
            <w:tcW w:w="2398" w:type="dxa"/>
            <w:tcBorders>
              <w:top w:val="single" w:color="000000" w:sz="8" w:space="0"/>
              <w:left w:val="single" w:color="auto" w:sz="4"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智远合阳50兆瓦光伏发电项目</w:t>
            </w:r>
          </w:p>
        </w:tc>
        <w:tc>
          <w:tcPr>
            <w:tcW w:w="2379" w:type="dxa"/>
            <w:tcBorders>
              <w:top w:val="single" w:color="000000" w:sz="8" w:space="0"/>
              <w:left w:val="single" w:color="000000" w:sz="8"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合阳智远新能源有限公司</w:t>
            </w:r>
          </w:p>
        </w:tc>
        <w:tc>
          <w:tcPr>
            <w:tcW w:w="1191" w:type="dxa"/>
            <w:tcBorders>
              <w:top w:val="single" w:color="000000" w:sz="8" w:space="0"/>
              <w:left w:val="single" w:color="000000" w:sz="8"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50</w:t>
            </w:r>
          </w:p>
        </w:tc>
        <w:tc>
          <w:tcPr>
            <w:tcW w:w="2038" w:type="dxa"/>
            <w:tcBorders>
              <w:top w:val="single" w:color="000000" w:sz="8" w:space="0"/>
              <w:left w:val="single" w:color="000000" w:sz="8"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2015年12月31日</w:t>
            </w:r>
          </w:p>
        </w:tc>
      </w:tr>
      <w:tr>
        <w:tblPrEx>
          <w:tblLayout w:type="fixed"/>
          <w:tblCellMar>
            <w:top w:w="0" w:type="dxa"/>
            <w:left w:w="0" w:type="dxa"/>
            <w:bottom w:w="0" w:type="dxa"/>
            <w:right w:w="0" w:type="dxa"/>
          </w:tblCellMar>
        </w:tblPrEx>
        <w:trPr>
          <w:trHeight w:val="397" w:hRule="atLeast"/>
        </w:trPr>
        <w:tc>
          <w:tcPr>
            <w:tcW w:w="727" w:type="dxa"/>
            <w:tcBorders>
              <w:top w:val="single" w:color="000000" w:sz="8" w:space="0"/>
              <w:left w:val="single" w:color="000000" w:sz="8" w:space="0"/>
              <w:bottom w:val="single" w:color="000000" w:sz="8" w:space="0"/>
              <w:right w:val="single" w:color="auto" w:sz="4" w:space="0"/>
            </w:tcBorders>
            <w:shd w:val="clear" w:color="auto" w:fill="auto"/>
            <w:tcMar>
              <w:top w:w="72" w:type="dxa"/>
              <w:left w:w="144" w:type="dxa"/>
              <w:bottom w:w="72" w:type="dxa"/>
              <w:right w:w="144" w:type="dxa"/>
            </w:tcMar>
            <w:vAlign w:val="center"/>
          </w:tcPr>
          <w:p>
            <w:pPr>
              <w:pStyle w:val="36"/>
            </w:pPr>
            <w:r>
              <w:rPr>
                <w:rFonts w:hint="eastAsia"/>
              </w:rPr>
              <w:t>4</w:t>
            </w:r>
          </w:p>
        </w:tc>
        <w:tc>
          <w:tcPr>
            <w:tcW w:w="2398" w:type="dxa"/>
            <w:tcBorders>
              <w:top w:val="single" w:color="000000" w:sz="8" w:space="0"/>
              <w:left w:val="single" w:color="auto" w:sz="4"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渭南澄城县20MW光伏农业科技大棚电站项目</w:t>
            </w:r>
          </w:p>
        </w:tc>
        <w:tc>
          <w:tcPr>
            <w:tcW w:w="2379" w:type="dxa"/>
            <w:tcBorders>
              <w:top w:val="single" w:color="000000" w:sz="8" w:space="0"/>
              <w:left w:val="single" w:color="000000" w:sz="8"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澄城县昌盛太阳能科技有限公司</w:t>
            </w:r>
          </w:p>
        </w:tc>
        <w:tc>
          <w:tcPr>
            <w:tcW w:w="1191" w:type="dxa"/>
            <w:tcBorders>
              <w:top w:val="single" w:color="000000" w:sz="8" w:space="0"/>
              <w:left w:val="single" w:color="000000" w:sz="8"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20</w:t>
            </w:r>
          </w:p>
        </w:tc>
        <w:tc>
          <w:tcPr>
            <w:tcW w:w="2038" w:type="dxa"/>
            <w:tcBorders>
              <w:top w:val="single" w:color="000000" w:sz="8" w:space="0"/>
              <w:left w:val="single" w:color="000000" w:sz="8"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2015年12月31日</w:t>
            </w:r>
          </w:p>
        </w:tc>
      </w:tr>
      <w:tr>
        <w:tblPrEx>
          <w:tblLayout w:type="fixed"/>
          <w:tblCellMar>
            <w:top w:w="0" w:type="dxa"/>
            <w:left w:w="0" w:type="dxa"/>
            <w:bottom w:w="0" w:type="dxa"/>
            <w:right w:w="0" w:type="dxa"/>
          </w:tblCellMar>
        </w:tblPrEx>
        <w:trPr>
          <w:trHeight w:val="397" w:hRule="atLeast"/>
        </w:trPr>
        <w:tc>
          <w:tcPr>
            <w:tcW w:w="727" w:type="dxa"/>
            <w:tcBorders>
              <w:top w:val="single" w:color="000000" w:sz="8" w:space="0"/>
              <w:left w:val="single" w:color="000000" w:sz="8" w:space="0"/>
              <w:bottom w:val="single" w:color="000000" w:sz="8" w:space="0"/>
              <w:right w:val="single" w:color="auto" w:sz="4" w:space="0"/>
            </w:tcBorders>
            <w:shd w:val="clear" w:color="auto" w:fill="auto"/>
            <w:tcMar>
              <w:top w:w="72" w:type="dxa"/>
              <w:left w:w="144" w:type="dxa"/>
              <w:bottom w:w="72" w:type="dxa"/>
              <w:right w:w="144" w:type="dxa"/>
            </w:tcMar>
            <w:vAlign w:val="center"/>
          </w:tcPr>
          <w:p>
            <w:pPr>
              <w:pStyle w:val="36"/>
            </w:pPr>
            <w:r>
              <w:rPr>
                <w:rFonts w:hint="eastAsia"/>
              </w:rPr>
              <w:t>5</w:t>
            </w:r>
          </w:p>
        </w:tc>
        <w:tc>
          <w:tcPr>
            <w:tcW w:w="2398" w:type="dxa"/>
            <w:tcBorders>
              <w:top w:val="single" w:color="000000" w:sz="8" w:space="0"/>
              <w:left w:val="single" w:color="auto" w:sz="4"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隆基蒲城40兆瓦光伏电站项目</w:t>
            </w:r>
          </w:p>
        </w:tc>
        <w:tc>
          <w:tcPr>
            <w:tcW w:w="2379" w:type="dxa"/>
            <w:tcBorders>
              <w:top w:val="single" w:color="000000" w:sz="8" w:space="0"/>
              <w:left w:val="single" w:color="000000" w:sz="8"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蒲城隆基生态农业光伏新能源有限公司</w:t>
            </w:r>
          </w:p>
        </w:tc>
        <w:tc>
          <w:tcPr>
            <w:tcW w:w="1191" w:type="dxa"/>
            <w:tcBorders>
              <w:top w:val="single" w:color="000000" w:sz="8" w:space="0"/>
              <w:left w:val="single" w:color="000000" w:sz="8"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40</w:t>
            </w:r>
          </w:p>
        </w:tc>
        <w:tc>
          <w:tcPr>
            <w:tcW w:w="2038" w:type="dxa"/>
            <w:tcBorders>
              <w:top w:val="single" w:color="000000" w:sz="8" w:space="0"/>
              <w:left w:val="single" w:color="000000" w:sz="8"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2015年12月31日</w:t>
            </w:r>
          </w:p>
        </w:tc>
      </w:tr>
      <w:tr>
        <w:tblPrEx>
          <w:tblLayout w:type="fixed"/>
          <w:tblCellMar>
            <w:top w:w="0" w:type="dxa"/>
            <w:left w:w="0" w:type="dxa"/>
            <w:bottom w:w="0" w:type="dxa"/>
            <w:right w:w="0" w:type="dxa"/>
          </w:tblCellMar>
        </w:tblPrEx>
        <w:trPr>
          <w:trHeight w:val="397" w:hRule="atLeast"/>
        </w:trPr>
        <w:tc>
          <w:tcPr>
            <w:tcW w:w="727" w:type="dxa"/>
            <w:tcBorders>
              <w:top w:val="single" w:color="000000" w:sz="8" w:space="0"/>
              <w:left w:val="single" w:color="000000" w:sz="8" w:space="0"/>
              <w:bottom w:val="single" w:color="000000" w:sz="8" w:space="0"/>
              <w:right w:val="single" w:color="auto" w:sz="4" w:space="0"/>
            </w:tcBorders>
            <w:shd w:val="clear" w:color="auto" w:fill="auto"/>
            <w:tcMar>
              <w:top w:w="72" w:type="dxa"/>
              <w:left w:w="144" w:type="dxa"/>
              <w:bottom w:w="72" w:type="dxa"/>
              <w:right w:w="144" w:type="dxa"/>
            </w:tcMar>
            <w:vAlign w:val="center"/>
          </w:tcPr>
          <w:p>
            <w:pPr>
              <w:pStyle w:val="36"/>
            </w:pPr>
            <w:r>
              <w:rPr>
                <w:rFonts w:hint="eastAsia"/>
              </w:rPr>
              <w:t>合计</w:t>
            </w:r>
          </w:p>
        </w:tc>
        <w:tc>
          <w:tcPr>
            <w:tcW w:w="2398" w:type="dxa"/>
            <w:tcBorders>
              <w:top w:val="single" w:color="000000" w:sz="8" w:space="0"/>
              <w:left w:val="single" w:color="auto" w:sz="4"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p>
        </w:tc>
        <w:tc>
          <w:tcPr>
            <w:tcW w:w="2379" w:type="dxa"/>
            <w:tcBorders>
              <w:top w:val="single" w:color="000000" w:sz="8" w:space="0"/>
              <w:left w:val="single" w:color="000000" w:sz="8"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p>
        </w:tc>
        <w:tc>
          <w:tcPr>
            <w:tcW w:w="1191" w:type="dxa"/>
            <w:tcBorders>
              <w:top w:val="single" w:color="000000" w:sz="8" w:space="0"/>
              <w:left w:val="single" w:color="000000" w:sz="8"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r>
              <w:rPr>
                <w:rFonts w:hint="eastAsia"/>
              </w:rPr>
              <w:t>210</w:t>
            </w:r>
          </w:p>
        </w:tc>
        <w:tc>
          <w:tcPr>
            <w:tcW w:w="2038" w:type="dxa"/>
            <w:tcBorders>
              <w:top w:val="single" w:color="000000" w:sz="8" w:space="0"/>
              <w:left w:val="single" w:color="000000" w:sz="8" w:space="0"/>
              <w:bottom w:val="single" w:color="000000" w:sz="8" w:space="0"/>
              <w:right w:val="single" w:color="000000" w:sz="8" w:space="0"/>
            </w:tcBorders>
            <w:shd w:val="clear" w:color="auto" w:fill="auto"/>
            <w:tcMar>
              <w:top w:w="72" w:type="dxa"/>
              <w:left w:w="144" w:type="dxa"/>
              <w:bottom w:w="72" w:type="dxa"/>
              <w:right w:w="144" w:type="dxa"/>
            </w:tcMar>
            <w:vAlign w:val="center"/>
          </w:tcPr>
          <w:p>
            <w:pPr>
              <w:pStyle w:val="36"/>
            </w:pPr>
          </w:p>
        </w:tc>
      </w:tr>
    </w:tbl>
    <w:p>
      <w:pPr>
        <w:pStyle w:val="128"/>
      </w:pPr>
    </w:p>
    <w:p>
      <w:pPr>
        <w:pStyle w:val="128"/>
      </w:pPr>
      <w:r>
        <w:rPr>
          <w:rFonts w:hint="eastAsia"/>
        </w:rPr>
        <w:t>目前</w:t>
      </w:r>
      <w:r>
        <w:t>，澄城县已建成光伏产业园区，初步形成了</w:t>
      </w:r>
      <w:r>
        <w:rPr>
          <w:rFonts w:hint="eastAsia"/>
        </w:rPr>
        <w:t>“多晶硅</w:t>
      </w:r>
      <w:r>
        <w:t>-单晶硅-硅片-</w:t>
      </w:r>
      <w:r>
        <w:rPr>
          <w:rFonts w:hint="eastAsia"/>
        </w:rPr>
        <w:t>太阳能</w:t>
      </w:r>
      <w:r>
        <w:t>电池及组件-光伏照明（</w:t>
      </w:r>
      <w:r>
        <w:rPr>
          <w:rFonts w:hint="eastAsia"/>
        </w:rPr>
        <w:t>发电</w:t>
      </w:r>
      <w:r>
        <w:t>）</w:t>
      </w:r>
      <w:r>
        <w:rPr>
          <w:rFonts w:hint="eastAsia"/>
        </w:rPr>
        <w:t>”较为</w:t>
      </w:r>
      <w:r>
        <w:t>完整的产业链条，填补了陕西省光伏产业链空白，</w:t>
      </w:r>
      <w:r>
        <w:rPr>
          <w:rFonts w:hint="eastAsia"/>
        </w:rPr>
        <w:t>澄城</w:t>
      </w:r>
      <w:r>
        <w:t>太阳能光伏产业园被列为陕西省光伏产业多晶硅原料生产基地。</w:t>
      </w:r>
    </w:p>
    <w:p>
      <w:pPr>
        <w:pStyle w:val="127"/>
      </w:pPr>
      <w:r>
        <w:rPr>
          <w:rFonts w:hint="eastAsia"/>
        </w:rPr>
        <w:t>风力电站</w:t>
      </w:r>
      <w:r>
        <w:t>发展现状</w:t>
      </w:r>
    </w:p>
    <w:p>
      <w:pPr>
        <w:pStyle w:val="128"/>
      </w:pPr>
      <w:r>
        <w:rPr>
          <w:rFonts w:hint="eastAsia"/>
        </w:rPr>
        <w:t>目前，渭南市已建风电场装机容量29.4MW，核准在建风电场装机容量180MW，核准在建风电场将于2017年底前全部建成。至2017年底，渭南市风电总装机容量将达到209.4MW。已建、在建风电场主要分布在渭南市潼关县、合阳县和白水县。</w:t>
      </w:r>
    </w:p>
    <w:p>
      <w:pPr>
        <w:pStyle w:val="132"/>
        <w:numPr>
          <w:ilvl w:val="0"/>
          <w:numId w:val="10"/>
        </w:numPr>
        <w:adjustRightInd w:val="0"/>
        <w:snapToGrid w:val="0"/>
      </w:pPr>
      <w:r>
        <w:rPr>
          <w:rFonts w:hint="eastAsia"/>
        </w:rPr>
        <w:t>渭南市已建、在建风电场统计</w:t>
      </w:r>
      <w:r>
        <w:t>表</w:t>
      </w:r>
    </w:p>
    <w:tbl>
      <w:tblPr>
        <w:tblStyle w:val="45"/>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6"/>
        <w:gridCol w:w="4148"/>
        <w:gridCol w:w="1433"/>
        <w:gridCol w:w="1326"/>
        <w:gridCol w:w="14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636" w:type="dxa"/>
            <w:shd w:val="clear" w:color="auto" w:fill="auto"/>
            <w:vAlign w:val="center"/>
          </w:tcPr>
          <w:p>
            <w:pPr>
              <w:pStyle w:val="36"/>
            </w:pPr>
            <w:r>
              <w:t>序号</w:t>
            </w:r>
          </w:p>
        </w:tc>
        <w:tc>
          <w:tcPr>
            <w:tcW w:w="4148" w:type="dxa"/>
            <w:shd w:val="clear" w:color="auto" w:fill="auto"/>
            <w:vAlign w:val="center"/>
          </w:tcPr>
          <w:p>
            <w:pPr>
              <w:pStyle w:val="36"/>
            </w:pPr>
            <w:r>
              <w:t>风电场</w:t>
            </w:r>
            <w:r>
              <w:rPr>
                <w:rFonts w:hint="eastAsia"/>
              </w:rPr>
              <w:t>名称</w:t>
            </w:r>
          </w:p>
        </w:tc>
        <w:tc>
          <w:tcPr>
            <w:tcW w:w="1433" w:type="dxa"/>
            <w:shd w:val="clear" w:color="auto" w:fill="auto"/>
            <w:vAlign w:val="center"/>
          </w:tcPr>
          <w:p>
            <w:pPr>
              <w:pStyle w:val="36"/>
            </w:pPr>
            <w:r>
              <w:t>装机容量</w:t>
            </w:r>
          </w:p>
          <w:p>
            <w:pPr>
              <w:pStyle w:val="36"/>
            </w:pPr>
            <w:r>
              <w:t>（MW）</w:t>
            </w:r>
          </w:p>
        </w:tc>
        <w:tc>
          <w:tcPr>
            <w:tcW w:w="1326" w:type="dxa"/>
            <w:shd w:val="clear" w:color="auto" w:fill="auto"/>
            <w:vAlign w:val="center"/>
          </w:tcPr>
          <w:p>
            <w:pPr>
              <w:pStyle w:val="36"/>
            </w:pPr>
            <w:r>
              <w:rPr>
                <w:rFonts w:hint="eastAsia"/>
              </w:rPr>
              <w:t>已建</w:t>
            </w:r>
          </w:p>
          <w:p>
            <w:pPr>
              <w:pStyle w:val="36"/>
            </w:pPr>
            <w:r>
              <w:rPr>
                <w:rFonts w:hint="eastAsia"/>
              </w:rPr>
              <w:t>（MW）</w:t>
            </w:r>
          </w:p>
        </w:tc>
        <w:tc>
          <w:tcPr>
            <w:tcW w:w="1403" w:type="dxa"/>
            <w:shd w:val="clear" w:color="auto" w:fill="auto"/>
            <w:vAlign w:val="center"/>
          </w:tcPr>
          <w:p>
            <w:pPr>
              <w:pStyle w:val="36"/>
            </w:pPr>
            <w:r>
              <w:rPr>
                <w:rFonts w:hint="eastAsia"/>
              </w:rPr>
              <w:t>在建</w:t>
            </w:r>
          </w:p>
          <w:p>
            <w:pPr>
              <w:pStyle w:val="36"/>
            </w:pPr>
            <w:r>
              <w:rPr>
                <w:rFonts w:hint="eastAsia"/>
              </w:rPr>
              <w:t>（MW）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636" w:type="dxa"/>
            <w:shd w:val="clear" w:color="auto" w:fill="auto"/>
            <w:vAlign w:val="center"/>
          </w:tcPr>
          <w:p>
            <w:pPr>
              <w:pStyle w:val="36"/>
            </w:pPr>
            <w:r>
              <w:rPr>
                <w:rFonts w:hint="eastAsia"/>
              </w:rPr>
              <w:t>1</w:t>
            </w:r>
          </w:p>
        </w:tc>
        <w:tc>
          <w:tcPr>
            <w:tcW w:w="4148" w:type="dxa"/>
            <w:shd w:val="clear" w:color="auto" w:fill="auto"/>
            <w:vAlign w:val="center"/>
          </w:tcPr>
          <w:p>
            <w:pPr>
              <w:pStyle w:val="36"/>
            </w:pPr>
            <w:r>
              <w:t>中广核渭南潼关29.4MW分散式风电场</w:t>
            </w:r>
          </w:p>
        </w:tc>
        <w:tc>
          <w:tcPr>
            <w:tcW w:w="1433" w:type="dxa"/>
            <w:shd w:val="clear" w:color="auto" w:fill="auto"/>
            <w:vAlign w:val="center"/>
          </w:tcPr>
          <w:p>
            <w:pPr>
              <w:pStyle w:val="36"/>
            </w:pPr>
            <w:r>
              <w:t>29.4</w:t>
            </w:r>
          </w:p>
        </w:tc>
        <w:tc>
          <w:tcPr>
            <w:tcW w:w="1326" w:type="dxa"/>
            <w:shd w:val="clear" w:color="auto" w:fill="auto"/>
            <w:vAlign w:val="center"/>
          </w:tcPr>
          <w:p>
            <w:pPr>
              <w:pStyle w:val="36"/>
            </w:pPr>
            <w:r>
              <w:t>29.4</w:t>
            </w:r>
          </w:p>
        </w:tc>
        <w:tc>
          <w:tcPr>
            <w:tcW w:w="1403" w:type="dxa"/>
            <w:shd w:val="clear" w:color="auto" w:fill="auto"/>
            <w:vAlign w:val="center"/>
          </w:tcPr>
          <w:p>
            <w:pPr>
              <w:pStyle w:val="3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636" w:type="dxa"/>
            <w:shd w:val="clear" w:color="auto" w:fill="auto"/>
            <w:vAlign w:val="center"/>
          </w:tcPr>
          <w:p>
            <w:pPr>
              <w:pStyle w:val="36"/>
            </w:pPr>
            <w:r>
              <w:rPr>
                <w:rFonts w:hint="eastAsia"/>
              </w:rPr>
              <w:t>2</w:t>
            </w:r>
          </w:p>
        </w:tc>
        <w:tc>
          <w:tcPr>
            <w:tcW w:w="4148" w:type="dxa"/>
            <w:shd w:val="clear" w:color="auto" w:fill="auto"/>
            <w:vAlign w:val="center"/>
          </w:tcPr>
          <w:p>
            <w:pPr>
              <w:pStyle w:val="36"/>
            </w:pPr>
            <w:r>
              <w:t>中广核渭南潼关港口50MW风电场工程</w:t>
            </w:r>
          </w:p>
        </w:tc>
        <w:tc>
          <w:tcPr>
            <w:tcW w:w="1433" w:type="dxa"/>
            <w:shd w:val="clear" w:color="auto" w:fill="auto"/>
            <w:vAlign w:val="center"/>
          </w:tcPr>
          <w:p>
            <w:pPr>
              <w:pStyle w:val="36"/>
            </w:pPr>
            <w:r>
              <w:t>50</w:t>
            </w:r>
          </w:p>
        </w:tc>
        <w:tc>
          <w:tcPr>
            <w:tcW w:w="1326" w:type="dxa"/>
            <w:shd w:val="clear" w:color="auto" w:fill="auto"/>
            <w:vAlign w:val="center"/>
          </w:tcPr>
          <w:p>
            <w:pPr>
              <w:pStyle w:val="36"/>
            </w:pPr>
          </w:p>
        </w:tc>
        <w:tc>
          <w:tcPr>
            <w:tcW w:w="1403" w:type="dxa"/>
            <w:shd w:val="clear" w:color="auto" w:fill="auto"/>
            <w:vAlign w:val="center"/>
          </w:tcPr>
          <w:p>
            <w:pPr>
              <w:pStyle w:val="36"/>
            </w:pPr>
            <w: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636" w:type="dxa"/>
            <w:shd w:val="clear" w:color="auto" w:fill="auto"/>
            <w:vAlign w:val="center"/>
          </w:tcPr>
          <w:p>
            <w:pPr>
              <w:pStyle w:val="36"/>
            </w:pPr>
            <w:r>
              <w:rPr>
                <w:rFonts w:hint="eastAsia"/>
              </w:rPr>
              <w:t>3</w:t>
            </w:r>
          </w:p>
        </w:tc>
        <w:tc>
          <w:tcPr>
            <w:tcW w:w="4148" w:type="dxa"/>
            <w:shd w:val="clear" w:color="auto" w:fill="auto"/>
            <w:vAlign w:val="center"/>
          </w:tcPr>
          <w:p>
            <w:pPr>
              <w:pStyle w:val="36"/>
            </w:pPr>
            <w:r>
              <w:t>华润渭南潼关港口风电场</w:t>
            </w:r>
          </w:p>
        </w:tc>
        <w:tc>
          <w:tcPr>
            <w:tcW w:w="1433" w:type="dxa"/>
            <w:shd w:val="clear" w:color="auto" w:fill="auto"/>
            <w:vAlign w:val="center"/>
          </w:tcPr>
          <w:p>
            <w:pPr>
              <w:pStyle w:val="36"/>
            </w:pPr>
            <w:r>
              <w:t>50</w:t>
            </w:r>
          </w:p>
        </w:tc>
        <w:tc>
          <w:tcPr>
            <w:tcW w:w="1326" w:type="dxa"/>
            <w:shd w:val="clear" w:color="auto" w:fill="auto"/>
            <w:vAlign w:val="center"/>
          </w:tcPr>
          <w:p>
            <w:pPr>
              <w:pStyle w:val="36"/>
            </w:pPr>
          </w:p>
        </w:tc>
        <w:tc>
          <w:tcPr>
            <w:tcW w:w="1403" w:type="dxa"/>
            <w:shd w:val="clear" w:color="auto" w:fill="auto"/>
            <w:vAlign w:val="center"/>
          </w:tcPr>
          <w:p>
            <w:pPr>
              <w:pStyle w:val="36"/>
            </w:pPr>
            <w: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636" w:type="dxa"/>
            <w:shd w:val="clear" w:color="auto" w:fill="auto"/>
            <w:vAlign w:val="center"/>
          </w:tcPr>
          <w:p>
            <w:pPr>
              <w:pStyle w:val="36"/>
            </w:pPr>
            <w:r>
              <w:rPr>
                <w:rFonts w:hint="eastAsia"/>
              </w:rPr>
              <w:t>4</w:t>
            </w:r>
          </w:p>
        </w:tc>
        <w:tc>
          <w:tcPr>
            <w:tcW w:w="4148" w:type="dxa"/>
            <w:shd w:val="clear" w:color="auto" w:fill="auto"/>
            <w:vAlign w:val="center"/>
          </w:tcPr>
          <w:p>
            <w:pPr>
              <w:pStyle w:val="36"/>
            </w:pPr>
            <w:r>
              <w:t>国华渭南白水方山风电场</w:t>
            </w:r>
            <w:r>
              <w:rPr>
                <w:rFonts w:hint="eastAsia"/>
              </w:rPr>
              <w:t>（分散式）</w:t>
            </w:r>
          </w:p>
        </w:tc>
        <w:tc>
          <w:tcPr>
            <w:tcW w:w="1433" w:type="dxa"/>
            <w:shd w:val="clear" w:color="auto" w:fill="auto"/>
            <w:vAlign w:val="center"/>
          </w:tcPr>
          <w:p>
            <w:pPr>
              <w:pStyle w:val="36"/>
            </w:pPr>
            <w:r>
              <w:t>30</w:t>
            </w:r>
          </w:p>
        </w:tc>
        <w:tc>
          <w:tcPr>
            <w:tcW w:w="1326" w:type="dxa"/>
            <w:shd w:val="clear" w:color="auto" w:fill="auto"/>
            <w:vAlign w:val="center"/>
          </w:tcPr>
          <w:p>
            <w:pPr>
              <w:pStyle w:val="36"/>
            </w:pPr>
          </w:p>
        </w:tc>
        <w:tc>
          <w:tcPr>
            <w:tcW w:w="1403" w:type="dxa"/>
            <w:shd w:val="clear" w:color="auto" w:fill="auto"/>
            <w:vAlign w:val="center"/>
          </w:tcPr>
          <w:p>
            <w:pPr>
              <w:pStyle w:val="36"/>
            </w:pPr>
            <w: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636" w:type="dxa"/>
            <w:shd w:val="clear" w:color="auto" w:fill="auto"/>
            <w:vAlign w:val="center"/>
          </w:tcPr>
          <w:p>
            <w:pPr>
              <w:pStyle w:val="36"/>
            </w:pPr>
            <w:r>
              <w:rPr>
                <w:rFonts w:hint="eastAsia"/>
              </w:rPr>
              <w:t>5</w:t>
            </w:r>
          </w:p>
        </w:tc>
        <w:tc>
          <w:tcPr>
            <w:tcW w:w="4148" w:type="dxa"/>
            <w:shd w:val="clear" w:color="auto" w:fill="auto"/>
            <w:vAlign w:val="center"/>
          </w:tcPr>
          <w:p>
            <w:pPr>
              <w:pStyle w:val="36"/>
            </w:pPr>
            <w:r>
              <w:t>渭南天润合阳黑池坊风电项目</w:t>
            </w:r>
          </w:p>
        </w:tc>
        <w:tc>
          <w:tcPr>
            <w:tcW w:w="1433" w:type="dxa"/>
            <w:shd w:val="clear" w:color="auto" w:fill="auto"/>
            <w:vAlign w:val="center"/>
          </w:tcPr>
          <w:p>
            <w:pPr>
              <w:pStyle w:val="36"/>
            </w:pPr>
            <w:r>
              <w:t>50</w:t>
            </w:r>
          </w:p>
        </w:tc>
        <w:tc>
          <w:tcPr>
            <w:tcW w:w="1326" w:type="dxa"/>
            <w:shd w:val="clear" w:color="auto" w:fill="auto"/>
            <w:vAlign w:val="center"/>
          </w:tcPr>
          <w:p>
            <w:pPr>
              <w:pStyle w:val="36"/>
            </w:pPr>
          </w:p>
        </w:tc>
        <w:tc>
          <w:tcPr>
            <w:tcW w:w="1403" w:type="dxa"/>
            <w:shd w:val="clear" w:color="auto" w:fill="auto"/>
            <w:vAlign w:val="center"/>
          </w:tcPr>
          <w:p>
            <w:pPr>
              <w:pStyle w:val="36"/>
            </w:pPr>
            <w: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636" w:type="dxa"/>
            <w:shd w:val="clear" w:color="auto" w:fill="auto"/>
            <w:vAlign w:val="center"/>
          </w:tcPr>
          <w:p>
            <w:pPr>
              <w:pStyle w:val="36"/>
            </w:pPr>
            <w:r>
              <w:rPr>
                <w:rFonts w:hint="eastAsia"/>
              </w:rPr>
              <w:t>合计</w:t>
            </w:r>
          </w:p>
        </w:tc>
        <w:tc>
          <w:tcPr>
            <w:tcW w:w="4148" w:type="dxa"/>
            <w:shd w:val="clear" w:color="auto" w:fill="auto"/>
            <w:vAlign w:val="center"/>
          </w:tcPr>
          <w:p>
            <w:pPr>
              <w:pStyle w:val="36"/>
            </w:pPr>
          </w:p>
        </w:tc>
        <w:tc>
          <w:tcPr>
            <w:tcW w:w="1433" w:type="dxa"/>
            <w:shd w:val="clear" w:color="auto" w:fill="auto"/>
            <w:vAlign w:val="center"/>
          </w:tcPr>
          <w:p>
            <w:pPr>
              <w:pStyle w:val="36"/>
            </w:pPr>
            <w:r>
              <w:rPr>
                <w:rFonts w:hint="eastAsia"/>
              </w:rPr>
              <w:t>209.4</w:t>
            </w:r>
          </w:p>
        </w:tc>
        <w:tc>
          <w:tcPr>
            <w:tcW w:w="1326" w:type="dxa"/>
            <w:shd w:val="clear" w:color="auto" w:fill="auto"/>
            <w:vAlign w:val="center"/>
          </w:tcPr>
          <w:p>
            <w:pPr>
              <w:pStyle w:val="36"/>
            </w:pPr>
            <w:r>
              <w:rPr>
                <w:rFonts w:hint="eastAsia"/>
              </w:rPr>
              <w:t>29.4</w:t>
            </w:r>
          </w:p>
        </w:tc>
        <w:tc>
          <w:tcPr>
            <w:tcW w:w="1403" w:type="dxa"/>
            <w:shd w:val="clear" w:color="auto" w:fill="auto"/>
            <w:vAlign w:val="center"/>
          </w:tcPr>
          <w:p>
            <w:pPr>
              <w:pStyle w:val="36"/>
            </w:pPr>
            <w:r>
              <w:rPr>
                <w:rFonts w:hint="eastAsia"/>
              </w:rPr>
              <w:t>180</w:t>
            </w:r>
          </w:p>
        </w:tc>
      </w:tr>
    </w:tbl>
    <w:p>
      <w:pPr>
        <w:spacing w:line="240" w:lineRule="auto"/>
        <w:rPr>
          <w:sz w:val="21"/>
        </w:rPr>
      </w:pPr>
    </w:p>
    <w:p>
      <w:pPr>
        <w:pStyle w:val="128"/>
      </w:pPr>
      <w:r>
        <w:rPr>
          <w:rFonts w:hint="eastAsia"/>
        </w:rPr>
        <w:t>渭南市已建、在建风电项目基本情况如下：</w:t>
      </w:r>
    </w:p>
    <w:p>
      <w:pPr>
        <w:pStyle w:val="128"/>
      </w:pPr>
      <w:r>
        <w:rPr>
          <w:rFonts w:hint="eastAsia"/>
        </w:rPr>
        <w:t>（1）中广核潼关风电项目。由中广核风电有限公司投资建设，项目位于潼关县城东北约7km。装机容量29.4MW，设计安装14台单机容量2100kW的风力发电机组，配套建设110kV低压配电网系统及监控中心，总投资3亿元，项目已于2015年下半年开工，2015年年底建成运营。</w:t>
      </w:r>
    </w:p>
    <w:p>
      <w:pPr>
        <w:pStyle w:val="128"/>
      </w:pPr>
      <w:r>
        <w:rPr>
          <w:rFonts w:hint="eastAsia"/>
        </w:rPr>
        <w:t>（2）中广核渭南潼关港口50MW风电场工程位于潼关县城关镇、秦东镇。装机容量50MW，总投资4.2亿，预计2017年底前投产。</w:t>
      </w:r>
    </w:p>
    <w:p>
      <w:pPr>
        <w:pStyle w:val="128"/>
      </w:pPr>
      <w:r>
        <w:rPr>
          <w:rFonts w:hint="eastAsia"/>
        </w:rPr>
        <w:t>（3）华润潼关风电项目。由华润新能源风能有限公司投资建设，项目位于潼关县秦东镇和港口镇台塬，装机容量50MW，设计安装25台2000kW风力发电机组及输入电网等配套设施，该项目已纳入国家第四批开发计划，预计2016年年底前动工，2017年上半年建成投产，项目建成后年可发电1.1亿kWh，节约标煤3.5万t。</w:t>
      </w:r>
    </w:p>
    <w:p>
      <w:pPr>
        <w:pStyle w:val="128"/>
      </w:pPr>
      <w:r>
        <w:rPr>
          <w:rFonts w:hint="eastAsia"/>
        </w:rPr>
        <w:t>（4）国华白水风电项目。由国华能源投资有限公司投资建设，项目位于白水县方山林场。装机容量30MW，设计安装15台2000kW风力发电机组，总投资3亿元，预计2016年建成运营。</w:t>
      </w:r>
    </w:p>
    <w:p>
      <w:pPr>
        <w:pStyle w:val="128"/>
      </w:pPr>
      <w:r>
        <w:rPr>
          <w:rFonts w:hint="eastAsia"/>
        </w:rPr>
        <w:t>（5）天润创先合阳风电项目。由渭南天润创先新能源公司投资建设，装机容量50MW，总投资4.2亿元，项目已纳入陕西省2016年风电开发建设方案。预计2016年11月份完成核准，2017年2月开工建设。</w:t>
      </w:r>
    </w:p>
    <w:p>
      <w:pPr>
        <w:pStyle w:val="128"/>
      </w:pPr>
      <w:r>
        <w:rPr>
          <w:rFonts w:hint="eastAsia"/>
        </w:rPr>
        <w:t>此外，华能、国电、国电投、中广核、华润、中节能、河北建投、天润等新能源投资公司均积极向渭南市政府表达投资意愿，在渭南市设立测风塔，并积极开展风电场前期工作。</w:t>
      </w:r>
    </w:p>
    <w:p>
      <w:pPr>
        <w:pStyle w:val="127"/>
      </w:pPr>
      <w:r>
        <w:rPr>
          <w:rFonts w:hint="eastAsia"/>
        </w:rPr>
        <w:t>地热能产业</w:t>
      </w:r>
      <w:r>
        <w:t>发展现状</w:t>
      </w:r>
    </w:p>
    <w:p>
      <w:pPr>
        <w:pStyle w:val="128"/>
      </w:pPr>
      <w:r>
        <w:rPr>
          <w:rFonts w:hint="eastAsia"/>
        </w:rPr>
        <w:t>我国地热资源丰富，以中低温为主，其直接利用量居世界第一，但体系化深度开发利用还明显落后于发达国家。其伴生的水溶气资源量据国内专家预测虽与常规天然气资源相当，但储量分布不均，适宜开采区域较少，目前属于前期论证和调研阶段，水溶气的研究和开发仍远远落后于日本和美国等国家。</w:t>
      </w:r>
    </w:p>
    <w:p>
      <w:pPr>
        <w:pStyle w:val="128"/>
      </w:pPr>
      <w:r>
        <w:rPr>
          <w:rFonts w:hint="eastAsia"/>
        </w:rPr>
        <w:t>渭南市的优质地热资源可用于发电、供暖、生活洗浴、设施农业等方面，其中伴生的水溶气用途更为广泛，可用于高科技、军事、医学和多种尖端领域。2015年</w:t>
      </w:r>
      <w:r>
        <w:t>新增地热供暖面积</w:t>
      </w:r>
      <w:r>
        <w:rPr>
          <w:rFonts w:hint="eastAsia"/>
        </w:rPr>
        <w:t>7.47万m</w:t>
      </w:r>
      <w:r>
        <w:rPr>
          <w:vertAlign w:val="superscript"/>
        </w:rPr>
        <w:t>2</w:t>
      </w:r>
      <w:r>
        <w:t>，全市地热供暖能力达</w:t>
      </w:r>
      <w:r>
        <w:rPr>
          <w:rFonts w:hint="eastAsia"/>
        </w:rPr>
        <w:t>120万m</w:t>
      </w:r>
      <w:r>
        <w:rPr>
          <w:vertAlign w:val="superscript"/>
        </w:rPr>
        <w:t>2</w:t>
      </w:r>
      <w:r>
        <w:t>，渭南市主城区实现地热供热面积达</w:t>
      </w:r>
      <w:r>
        <w:rPr>
          <w:rFonts w:hint="eastAsia"/>
        </w:rPr>
        <w:t>85万m</w:t>
      </w:r>
      <w:r>
        <w:rPr>
          <w:vertAlign w:val="superscript"/>
        </w:rPr>
        <w:t>2</w:t>
      </w:r>
      <w:r>
        <w:t>。</w:t>
      </w:r>
    </w:p>
    <w:p>
      <w:pPr>
        <w:pStyle w:val="128"/>
      </w:pPr>
      <w:r>
        <w:rPr>
          <w:rFonts w:hint="eastAsia"/>
        </w:rPr>
        <w:t>目前规划区地热能产业</w:t>
      </w:r>
      <w:r>
        <w:t>发展</w:t>
      </w:r>
      <w:r>
        <w:rPr>
          <w:rFonts w:hint="eastAsia"/>
        </w:rPr>
        <w:t>现状</w:t>
      </w:r>
      <w:r>
        <w:t>如下：</w:t>
      </w:r>
    </w:p>
    <w:p>
      <w:pPr>
        <w:pStyle w:val="128"/>
      </w:pPr>
      <w:r>
        <w:rPr>
          <w:rFonts w:hint="eastAsia"/>
        </w:rPr>
        <w:t>（1）</w:t>
      </w:r>
      <w:r>
        <w:t>地热资源勘查工作</w:t>
      </w:r>
      <w:r>
        <w:rPr>
          <w:rFonts w:hint="eastAsia"/>
        </w:rPr>
        <w:t>相对</w:t>
      </w:r>
      <w:r>
        <w:t>滞后，</w:t>
      </w:r>
      <w:r>
        <w:rPr>
          <w:rFonts w:hint="eastAsia"/>
        </w:rPr>
        <w:t>一定</w:t>
      </w:r>
      <w:r>
        <w:t>程度上影响了开发利用。</w:t>
      </w:r>
    </w:p>
    <w:p>
      <w:pPr>
        <w:pStyle w:val="128"/>
      </w:pPr>
      <w:r>
        <w:rPr>
          <w:rFonts w:hint="eastAsia"/>
        </w:rPr>
        <w:t>（2）</w:t>
      </w:r>
      <w:r>
        <w:t>地热资源利用率低。主要是利用结构单一，</w:t>
      </w:r>
      <w:r>
        <w:rPr>
          <w:rFonts w:hint="eastAsia"/>
        </w:rPr>
        <w:t>还</w:t>
      </w:r>
      <w:r>
        <w:t>未能实现体系化</w:t>
      </w:r>
      <w:r>
        <w:rPr>
          <w:rFonts w:hint="eastAsia"/>
        </w:rPr>
        <w:t>、规模化</w:t>
      </w:r>
      <w:r>
        <w:t>的梯级利用</w:t>
      </w:r>
      <w:r>
        <w:rPr>
          <w:rFonts w:hint="eastAsia"/>
        </w:rPr>
        <w:t>，</w:t>
      </w:r>
      <w:r>
        <w:t>不能有效地将地热资源的能量充分提取和利用，不仅造成</w:t>
      </w:r>
      <w:r>
        <w:rPr>
          <w:rFonts w:hint="eastAsia"/>
        </w:rPr>
        <w:t>资源</w:t>
      </w:r>
      <w:r>
        <w:t>浪费，也造成热污染等一些环境问题。</w:t>
      </w:r>
    </w:p>
    <w:p>
      <w:pPr>
        <w:pStyle w:val="128"/>
      </w:pPr>
      <w:r>
        <w:rPr>
          <w:rFonts w:hint="eastAsia"/>
        </w:rPr>
        <w:t>（3）</w:t>
      </w:r>
      <w:r>
        <w:t>地热资源动态监测滞后。掌握地热资源动态变化特征是进一步开发利用好地热资源的关键。目前，区内地热井绝大部分未进行开采条件下的动态监测工作，在一定程度上影响地热资源的评价与管理。</w:t>
      </w:r>
    </w:p>
    <w:p>
      <w:pPr>
        <w:pStyle w:val="128"/>
      </w:pPr>
      <w:r>
        <w:rPr>
          <w:rFonts w:hint="eastAsia"/>
        </w:rPr>
        <w:t>（4）</w:t>
      </w:r>
      <w:r>
        <w:t>地热资源利用方向单一。目前区内地热井开发仅用于洗浴、采暖，而地热发电、温室烘干、休闲理疗、现代生态观光农业及发展地热农畜禽业（育雏、育种、育苗、培育花木）</w:t>
      </w:r>
      <w:r>
        <w:rPr>
          <w:rFonts w:hint="eastAsia"/>
        </w:rPr>
        <w:t>以及伴生气</w:t>
      </w:r>
      <w:r>
        <w:t>的提取等尚未涉及。</w:t>
      </w:r>
    </w:p>
    <w:p>
      <w:pPr>
        <w:pStyle w:val="127"/>
      </w:pPr>
      <w:r>
        <w:rPr>
          <w:rFonts w:hint="eastAsia"/>
        </w:rPr>
        <w:t>生物质</w:t>
      </w:r>
    </w:p>
    <w:p>
      <w:pPr>
        <w:pStyle w:val="128"/>
      </w:pPr>
      <w:r>
        <w:rPr>
          <w:rFonts w:hint="eastAsia"/>
        </w:rPr>
        <w:t>渭南生物质能</w:t>
      </w:r>
      <w:r>
        <w:t>资源丰富，但</w:t>
      </w:r>
      <w:r>
        <w:rPr>
          <w:rFonts w:hint="eastAsia"/>
        </w:rPr>
        <w:t>生物质能资源利用率低，秸秆、林业废弃物占</w:t>
      </w:r>
      <w:r>
        <w:t>57.3%</w:t>
      </w:r>
      <w:r>
        <w:rPr>
          <w:rFonts w:hint="eastAsia"/>
        </w:rPr>
        <w:t>，畜禽粪便占</w:t>
      </w:r>
      <w:r>
        <w:t>35.2%</w:t>
      </w:r>
      <w:r>
        <w:rPr>
          <w:rFonts w:hint="eastAsia"/>
        </w:rPr>
        <w:t>。近两年，渭南市紧紧抓住国家支持新能源产业的有利时机，结合丰富的生物质资源条件，完善服务措施，大力发展生物质发电新能源产业，有效促进了全市新能源产业的快速发展。目前，渭南市大荔旭彤生物质发电项目、渭南奥本华阴3万千瓦生物质沼气发电项目等项目已获省发改委核准，近期将全面开工建设。澄城秦尧电厂生物质发电项目目前正在开展前期工作，近期将报送省发改委核准。</w:t>
      </w:r>
    </w:p>
    <w:p>
      <w:pPr>
        <w:pStyle w:val="126"/>
      </w:pPr>
      <w:r>
        <w:rPr>
          <w:rFonts w:hint="eastAsia"/>
        </w:rPr>
        <w:t>新材料</w:t>
      </w:r>
      <w:r>
        <w:t>产业发展现状</w:t>
      </w:r>
    </w:p>
    <w:p>
      <w:pPr>
        <w:pStyle w:val="128"/>
      </w:pPr>
      <w:r>
        <w:rPr>
          <w:rFonts w:hint="eastAsia"/>
        </w:rPr>
        <w:t>“十二五”期间</w:t>
      </w:r>
      <w:r>
        <w:t>，</w:t>
      </w:r>
      <w:r>
        <w:rPr>
          <w:rFonts w:hint="eastAsia"/>
        </w:rPr>
        <w:t>渭南市转型发展步伐加快。新型工业化步伐加快，能源化工向中高端延伸，3D打印、新能源汽车等战略新兴产业起步良好，非能工业产值占比提高8个百分点，渭南高新区获批国家新材料高新技术产业化基地。以</w:t>
      </w:r>
      <w:r>
        <w:t>钼化工材料、</w:t>
      </w:r>
      <w:r>
        <w:rPr>
          <w:rFonts w:hint="eastAsia"/>
        </w:rPr>
        <w:t>液晶显示</w:t>
      </w:r>
      <w:r>
        <w:t>材料、3D</w:t>
      </w:r>
      <w:r>
        <w:rPr>
          <w:rFonts w:hint="eastAsia"/>
        </w:rPr>
        <w:t>增材制造</w:t>
      </w:r>
      <w:r>
        <w:t>等</w:t>
      </w:r>
      <w:r>
        <w:rPr>
          <w:rFonts w:hint="eastAsia"/>
        </w:rPr>
        <w:t>为</w:t>
      </w:r>
      <w:r>
        <w:t>代表的新材料呈现出良好的发展态势。</w:t>
      </w:r>
    </w:p>
    <w:p>
      <w:pPr>
        <w:pStyle w:val="126"/>
      </w:pPr>
      <w:r>
        <w:rPr>
          <w:rFonts w:hint="eastAsia"/>
        </w:rPr>
        <w:t>新能源汽车</w:t>
      </w:r>
      <w:r>
        <w:t>产业发展现状</w:t>
      </w:r>
    </w:p>
    <w:p>
      <w:pPr>
        <w:pStyle w:val="128"/>
      </w:pPr>
      <w:r>
        <w:t>2015</w:t>
      </w:r>
      <w:r>
        <w:rPr>
          <w:rFonts w:hint="eastAsia"/>
        </w:rPr>
        <w:t>年</w:t>
      </w:r>
      <w:r>
        <w:t>渭南市推广应用新能源公交车</w:t>
      </w:r>
      <w:r>
        <w:rPr>
          <w:rFonts w:hint="eastAsia"/>
        </w:rPr>
        <w:t>80辆</w:t>
      </w:r>
      <w:r>
        <w:t>，运行线路</w:t>
      </w:r>
      <w:r>
        <w:rPr>
          <w:rFonts w:hint="eastAsia"/>
        </w:rPr>
        <w:t>4条</w:t>
      </w:r>
      <w:r>
        <w:t>，建成西北地区首个正式投入使用的新能源汽车远程监控系统。按照</w:t>
      </w:r>
      <w:r>
        <w:rPr>
          <w:rFonts w:hint="eastAsia"/>
        </w:rPr>
        <w:t>“桩站先行</w:t>
      </w:r>
      <w:r>
        <w:t>、适度超前、合理布局</w:t>
      </w:r>
      <w:r>
        <w:rPr>
          <w:rFonts w:hint="eastAsia"/>
        </w:rPr>
        <w:t>”的</w:t>
      </w:r>
      <w:r>
        <w:t>原则，申请国家资金</w:t>
      </w:r>
      <w:r>
        <w:rPr>
          <w:rFonts w:hint="eastAsia"/>
        </w:rPr>
        <w:t>4000万元</w:t>
      </w:r>
      <w:r>
        <w:t>，建成直流充电</w:t>
      </w:r>
      <w:r>
        <w:rPr>
          <w:rFonts w:hint="eastAsia"/>
        </w:rPr>
        <w:t>站2座</w:t>
      </w:r>
      <w:r>
        <w:t>，充电桩</w:t>
      </w:r>
      <w:r>
        <w:rPr>
          <w:rFonts w:hint="eastAsia"/>
        </w:rPr>
        <w:t>12套</w:t>
      </w:r>
      <w:r>
        <w:t>。</w:t>
      </w:r>
    </w:p>
    <w:p>
      <w:pPr>
        <w:pStyle w:val="128"/>
      </w:pPr>
      <w:r>
        <w:rPr>
          <w:rFonts w:hint="eastAsia"/>
        </w:rPr>
        <w:t>2</w:t>
      </w:r>
      <w:r>
        <w:t>015</w:t>
      </w:r>
      <w:r>
        <w:rPr>
          <w:rFonts w:hint="eastAsia"/>
        </w:rPr>
        <w:t>年</w:t>
      </w:r>
      <w:r>
        <w:t>5</w:t>
      </w:r>
      <w:r>
        <w:rPr>
          <w:rFonts w:hint="eastAsia"/>
        </w:rPr>
        <w:t>月</w:t>
      </w:r>
      <w:r>
        <w:t>，首个新能源产业项目沃特玛新能源电池项目落户渭南</w:t>
      </w:r>
      <w:r>
        <w:rPr>
          <w:rFonts w:hint="eastAsia"/>
        </w:rPr>
        <w:t>高新技术</w:t>
      </w:r>
      <w:r>
        <w:t>开发区，项目</w:t>
      </w:r>
      <w:r>
        <w:rPr>
          <w:rFonts w:hint="eastAsia"/>
        </w:rPr>
        <w:t>总体</w:t>
      </w:r>
      <w:r>
        <w:t>规划产能</w:t>
      </w:r>
      <w:r>
        <w:rPr>
          <w:rFonts w:hint="eastAsia"/>
        </w:rPr>
        <w:t>10GW圆柱型</w:t>
      </w:r>
      <w:r>
        <w:t>锂离子电池，一期产能</w:t>
      </w:r>
      <w:r>
        <w:rPr>
          <w:rFonts w:hint="eastAsia"/>
        </w:rPr>
        <w:t>3GW，二期3GW，三期4GW。2016年9月</w:t>
      </w:r>
      <w:r>
        <w:t>，一期</w:t>
      </w:r>
      <w:r>
        <w:rPr>
          <w:rFonts w:hint="eastAsia"/>
        </w:rPr>
        <w:t>3GW圆柱型</w:t>
      </w:r>
      <w:r>
        <w:t>锂离子电池</w:t>
      </w:r>
      <w:r>
        <w:rPr>
          <w:rFonts w:hint="eastAsia"/>
        </w:rPr>
        <w:t>项目</w:t>
      </w:r>
      <w:r>
        <w:t>建成投产，</w:t>
      </w:r>
      <w:r>
        <w:rPr>
          <w:rFonts w:hint="eastAsia"/>
        </w:rPr>
        <w:t>一期</w:t>
      </w:r>
      <w:r>
        <w:t>工程总投资</w:t>
      </w:r>
      <w:r>
        <w:rPr>
          <w:rFonts w:hint="eastAsia"/>
        </w:rPr>
        <w:t>20亿元</w:t>
      </w:r>
      <w:r>
        <w:t>，总建筑面积</w:t>
      </w:r>
      <w:r>
        <w:rPr>
          <w:rFonts w:hint="eastAsia"/>
        </w:rPr>
        <w:t>13万m</w:t>
      </w:r>
      <w:r>
        <w:rPr>
          <w:vertAlign w:val="superscript"/>
        </w:rPr>
        <w:t>2</w:t>
      </w:r>
      <w:r>
        <w:t>，</w:t>
      </w:r>
      <w:r>
        <w:rPr>
          <w:rFonts w:hint="eastAsia"/>
        </w:rPr>
        <w:t>分为</w:t>
      </w:r>
      <w:r>
        <w:t>制造区、研发区、仓储物流和商业生活区等四大功能区，达产后预计年产值可达</w:t>
      </w:r>
      <w:r>
        <w:rPr>
          <w:rFonts w:hint="eastAsia"/>
        </w:rPr>
        <w:t>75亿元</w:t>
      </w:r>
      <w:r>
        <w:t>。</w:t>
      </w:r>
      <w:r>
        <w:rPr>
          <w:rFonts w:hint="eastAsia"/>
        </w:rPr>
        <w:t>为</w:t>
      </w:r>
      <w:r>
        <w:t>渭南建成电动汽车产业链形成奠定</w:t>
      </w:r>
      <w:r>
        <w:rPr>
          <w:rFonts w:hint="eastAsia"/>
        </w:rPr>
        <w:t>了</w:t>
      </w:r>
      <w:r>
        <w:t>坚实基础。</w:t>
      </w:r>
    </w:p>
    <w:p>
      <w:pPr>
        <w:pStyle w:val="128"/>
        <w:sectPr>
          <w:pgSz w:w="11906" w:h="16838"/>
          <w:pgMar w:top="1440" w:right="1588" w:bottom="1440" w:left="1588" w:header="851" w:footer="992" w:gutter="0"/>
          <w:pgNumType w:fmt="decimal"/>
          <w:cols w:space="720" w:num="1"/>
          <w:docGrid w:linePitch="312" w:charSpace="0"/>
        </w:sectPr>
      </w:pPr>
    </w:p>
    <w:p>
      <w:pPr>
        <w:pStyle w:val="123"/>
        <w:rPr>
          <w:color w:val="auto"/>
        </w:rPr>
      </w:pPr>
      <w:bookmarkStart w:id="34" w:name="_Toc13004"/>
      <w:r>
        <w:rPr>
          <w:rFonts w:hint="eastAsia"/>
          <w:color w:val="auto"/>
        </w:rPr>
        <w:t>产业发展思路与目标定位</w:t>
      </w:r>
      <w:bookmarkEnd w:id="34"/>
    </w:p>
    <w:p>
      <w:pPr>
        <w:pStyle w:val="125"/>
      </w:pPr>
      <w:bookmarkStart w:id="35" w:name="_Toc20065"/>
      <w:r>
        <w:rPr>
          <w:rFonts w:hint="eastAsia"/>
        </w:rPr>
        <w:t>产业</w:t>
      </w:r>
      <w:r>
        <w:t>发展思路</w:t>
      </w:r>
      <w:bookmarkEnd w:id="35"/>
    </w:p>
    <w:p>
      <w:pPr>
        <w:pStyle w:val="126"/>
      </w:pPr>
      <w:r>
        <w:rPr>
          <w:rFonts w:hint="eastAsia"/>
        </w:rPr>
        <w:t>三产</w:t>
      </w:r>
      <w:r>
        <w:t>并重，</w:t>
      </w:r>
      <w:r>
        <w:rPr>
          <w:rFonts w:hint="eastAsia"/>
        </w:rPr>
        <w:t>农业</w:t>
      </w:r>
      <w:r>
        <w:t>、工业、服务业</w:t>
      </w:r>
      <w:r>
        <w:rPr>
          <w:rFonts w:hint="eastAsia"/>
        </w:rPr>
        <w:t>协调</w:t>
      </w:r>
      <w:r>
        <w:t>发展</w:t>
      </w:r>
    </w:p>
    <w:p>
      <w:pPr>
        <w:pStyle w:val="128"/>
      </w:pPr>
      <w:r>
        <w:rPr>
          <w:rFonts w:hint="eastAsia"/>
        </w:rPr>
        <w:t>（1）继续巩固</w:t>
      </w:r>
      <w:r>
        <w:t>农业</w:t>
      </w:r>
      <w:r>
        <w:rPr>
          <w:rFonts w:hint="eastAsia"/>
        </w:rPr>
        <w:t>支柱</w:t>
      </w:r>
      <w:r>
        <w:t>产业</w:t>
      </w:r>
      <w:r>
        <w:rPr>
          <w:rFonts w:hint="eastAsia"/>
        </w:rPr>
        <w:t>，</w:t>
      </w:r>
      <w:r>
        <w:t>构建现代农业产业体系</w:t>
      </w:r>
    </w:p>
    <w:p>
      <w:pPr>
        <w:pStyle w:val="128"/>
      </w:pPr>
      <w:r>
        <w:rPr>
          <w:rFonts w:hint="eastAsia"/>
        </w:rPr>
        <w:t>渭南</w:t>
      </w:r>
      <w:r>
        <w:t>是</w:t>
      </w:r>
      <w:r>
        <w:rPr>
          <w:rFonts w:hint="eastAsia"/>
        </w:rPr>
        <w:t>关中</w:t>
      </w:r>
      <w:r>
        <w:t>粮仓，</w:t>
      </w:r>
      <w:r>
        <w:rPr>
          <w:rFonts w:hint="eastAsia"/>
        </w:rPr>
        <w:t>全国重要</w:t>
      </w:r>
      <w:r>
        <w:t>的</w:t>
      </w:r>
      <w:r>
        <w:rPr>
          <w:rFonts w:hint="eastAsia"/>
          <w:lang w:eastAsia="zh-CN"/>
        </w:rPr>
        <w:t>商品</w:t>
      </w:r>
      <w:r>
        <w:t>粮食供给地，</w:t>
      </w:r>
      <w:r>
        <w:rPr>
          <w:rFonts w:hint="eastAsia"/>
        </w:rPr>
        <w:t>国家</w:t>
      </w:r>
      <w:r>
        <w:t>出台的各项保护基本农田的法律法规</w:t>
      </w:r>
      <w:r>
        <w:rPr>
          <w:rFonts w:hint="eastAsia"/>
        </w:rPr>
        <w:t>，体现了</w:t>
      </w:r>
      <w:r>
        <w:t>国家对粮食安全的重视</w:t>
      </w:r>
      <w:r>
        <w:rPr>
          <w:rFonts w:hint="eastAsia"/>
        </w:rPr>
        <w:t>。面对</w:t>
      </w:r>
      <w:r>
        <w:t>新的时代背景，渭南市应</w:t>
      </w:r>
      <w:r>
        <w:rPr>
          <w:rFonts w:hint="eastAsia"/>
        </w:rPr>
        <w:t>继续巩固</w:t>
      </w:r>
      <w:r>
        <w:t>农业</w:t>
      </w:r>
      <w:r>
        <w:rPr>
          <w:rFonts w:hint="eastAsia"/>
        </w:rPr>
        <w:t>支柱</w:t>
      </w:r>
      <w:r>
        <w:t>产业，</w:t>
      </w:r>
      <w:r>
        <w:rPr>
          <w:rFonts w:hint="eastAsia"/>
        </w:rPr>
        <w:t>用循环经济产业链构建现代农业产业体系，大力推进有机绿色畜产品开发建设，建立农田改造试验基地和农业科技研发和转化基地，加强良种培育、示范栽培、农产品加工等方面的研究和试验，推进农副产品加工产业发展。</w:t>
      </w:r>
    </w:p>
    <w:p>
      <w:pPr>
        <w:pStyle w:val="128"/>
      </w:pPr>
      <w:r>
        <w:rPr>
          <w:rFonts w:hint="eastAsia"/>
        </w:rPr>
        <w:t>（2）</w:t>
      </w:r>
      <w:r>
        <w:t>重视巩固提升传统优势产业</w:t>
      </w:r>
      <w:r>
        <w:rPr>
          <w:rFonts w:hint="eastAsia"/>
        </w:rPr>
        <w:t>，</w:t>
      </w:r>
      <w:r>
        <w:t>积极培育区域特色优势产业。</w:t>
      </w:r>
    </w:p>
    <w:p>
      <w:pPr>
        <w:pStyle w:val="128"/>
      </w:pPr>
      <w:r>
        <w:t>通过应用先进技术强化资源勘探和采掘，加强有色冶金、能源、化学工业的资源保障能力。推进工业实施补链、建链、强链完善产业链，纵向扩展产品线，增加发展工业产品领域，发展几个有竞争力的完整产业链的工业集群。推动制造业沿价值链从制造环节向研发、设计、品牌、营销、服务等高端方向延伸，全面提升从传统工业的整体发展质量和竞争力。主要应抓好有色冶金、能源工业、装备制造、化学工业、食品工业和纺织服装等六大传统工业。</w:t>
      </w:r>
    </w:p>
    <w:p>
      <w:pPr>
        <w:pStyle w:val="128"/>
      </w:pPr>
      <w:r>
        <w:rPr>
          <w:rFonts w:hint="eastAsia"/>
        </w:rPr>
        <w:t>（3）</w:t>
      </w:r>
      <w:r>
        <w:t>适应工业转型升级要求，大力发展现代生产性服务业</w:t>
      </w:r>
    </w:p>
    <w:p>
      <w:pPr>
        <w:pStyle w:val="128"/>
      </w:pPr>
      <w:r>
        <w:t>适应工业转型升级要求，缓解企业融资压力、促进产业技术创新、加速物品流通，大力发展金融服务、科技服务、现代物流等现代生产性服务业。</w:t>
      </w:r>
    </w:p>
    <w:p>
      <w:pPr>
        <w:pStyle w:val="126"/>
      </w:pPr>
      <w:r>
        <w:rPr>
          <w:rFonts w:hint="eastAsia"/>
        </w:rPr>
        <w:t>重点</w:t>
      </w:r>
      <w:r>
        <w:t>发展</w:t>
      </w:r>
      <w:r>
        <w:rPr>
          <w:rFonts w:hint="eastAsia"/>
        </w:rPr>
        <w:t>高新</w:t>
      </w:r>
      <w:r>
        <w:t>技术产业</w:t>
      </w:r>
      <w:r>
        <w:rPr>
          <w:rFonts w:hint="eastAsia"/>
        </w:rPr>
        <w:t>，</w:t>
      </w:r>
      <w:r>
        <w:t>打造新兴战略产业增长极</w:t>
      </w:r>
    </w:p>
    <w:p>
      <w:pPr>
        <w:pStyle w:val="128"/>
      </w:pPr>
      <w:r>
        <w:t>一是重点发展装备制造、化工、食品产业。装备制造业是未来国家重点扶持的行业，应重点打造新能源汽车产业链。化工行业具备进一步扩大规模和向精细化工发展的潜力，应加快推进煤炭深度转化，鼓励行业向下游延伸产业链，重点发展高附加值的精细化</w:t>
      </w:r>
      <w:r>
        <w:rPr>
          <w:rFonts w:hint="eastAsia"/>
          <w:lang w:eastAsia="zh-CN"/>
        </w:rPr>
        <w:t>工</w:t>
      </w:r>
      <w:r>
        <w:t>品。食品行业受宏观经济下行影响小，可依托本地农业资源优势，做精做优细分领域，重点发展具有特色和比较优势</w:t>
      </w:r>
      <w:r>
        <w:rPr>
          <w:rFonts w:hint="eastAsia"/>
          <w:lang w:eastAsia="zh-CN"/>
        </w:rPr>
        <w:t>高端</w:t>
      </w:r>
      <w:r>
        <w:t>的精品粮油、果</w:t>
      </w:r>
      <w:r>
        <w:rPr>
          <w:rFonts w:hint="eastAsia"/>
          <w:lang w:eastAsia="zh-CN"/>
        </w:rPr>
        <w:t>蔬</w:t>
      </w:r>
      <w:r>
        <w:t>、乳制品等。二是稳步发展有色、冶金、能源工业。重点是对这三个行业现有的生产设备进行改造升级，调整产品结构，在稳定规模的基础上，进一步开拓市场，提高企业的经济效益。三是培养发展新能源、新材料、节能环保、新一代信息技术、医药等新兴产业。</w:t>
      </w:r>
      <w:r>
        <w:rPr>
          <w:rFonts w:hint="eastAsia"/>
        </w:rPr>
        <w:t>打造</w:t>
      </w:r>
      <w:r>
        <w:t>新兴战略产业增长极，拉动工业技术进步和产业发展</w:t>
      </w:r>
      <w:r>
        <w:rPr>
          <w:rFonts w:hint="eastAsia"/>
        </w:rPr>
        <w:t>，</w:t>
      </w:r>
      <w:r>
        <w:t>主要发展以通用航空产业为核心的航空产业、新能源汽车产业、以3D打印为代表的增材制造业和新一代信息技术。以太阳能光伏产业为突破口，大力发展新能源产业、新材料产业</w:t>
      </w:r>
      <w:r>
        <w:rPr>
          <w:rFonts w:hint="eastAsia"/>
        </w:rPr>
        <w:t>。</w:t>
      </w:r>
    </w:p>
    <w:p>
      <w:pPr>
        <w:pStyle w:val="129"/>
      </w:pPr>
      <w:r>
        <w:drawing>
          <wp:inline distT="0" distB="0" distL="0" distR="0">
            <wp:extent cx="1104265" cy="1589405"/>
            <wp:effectExtent l="0" t="0" r="635" b="0"/>
            <wp:docPr id="58" name="图片 58" descr="C:\Users\12017\AppData\Roaming\Tencent\Users\497121372\QQ\WinTemp\RichOle\T~TANRQXR5E123YHQD{3`W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C:\Users\12017\AppData\Roaming\Tencent\Users\497121372\QQ\WinTemp\RichOle\T~TANRQXR5E123YHQD{3`W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1114572" cy="1603896"/>
                    </a:xfrm>
                    <a:prstGeom prst="rect">
                      <a:avLst/>
                    </a:prstGeom>
                    <a:noFill/>
                    <a:ln>
                      <a:noFill/>
                    </a:ln>
                  </pic:spPr>
                </pic:pic>
              </a:graphicData>
            </a:graphic>
          </wp:inline>
        </w:drawing>
      </w:r>
      <w:r>
        <w:drawing>
          <wp:inline distT="0" distB="0" distL="0" distR="0">
            <wp:extent cx="3928110" cy="1118870"/>
            <wp:effectExtent l="76200" t="19050" r="53187" b="24130"/>
            <wp:docPr id="56" name="图示 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pPr>
        <w:pStyle w:val="137"/>
        <w:numPr>
          <w:ilvl w:val="0"/>
          <w:numId w:val="12"/>
        </w:numPr>
      </w:pPr>
      <w:r>
        <w:rPr>
          <w:rFonts w:hint="eastAsia"/>
        </w:rPr>
        <w:t>渭南市</w:t>
      </w:r>
      <w:r>
        <w:t>产业发展总体思路</w:t>
      </w:r>
    </w:p>
    <w:p>
      <w:pPr>
        <w:pStyle w:val="126"/>
      </w:pPr>
      <w:r>
        <w:rPr>
          <w:rFonts w:hint="eastAsia"/>
        </w:rPr>
        <w:t>坚持上游制造与下游市场协调发展</w:t>
      </w:r>
    </w:p>
    <w:p>
      <w:pPr>
        <w:pStyle w:val="128"/>
      </w:pPr>
      <w:r>
        <w:rPr>
          <w:rFonts w:hint="eastAsia"/>
        </w:rPr>
        <w:t>重点支持上游制造企业培养高端技术人才,加强技术创新与应用创新,提升生产工艺水平,培育优势骨干企业,加速淘汰落后产能,为下游市场大规模发展创造条件。通过集中式光伏电站和分布式光伏发电系统建设,培育持续稳定增长的国内市场，大力支持太阳能全产业链“走出去”,开拓囯际市场,为上游制造产业提供充足市场空间，实现上游制造与下游市场协调发展。</w:t>
      </w:r>
    </w:p>
    <w:p>
      <w:pPr>
        <w:pStyle w:val="126"/>
      </w:pPr>
      <w:r>
        <w:t>加快重点园区建设，发挥示范带动作用</w:t>
      </w:r>
    </w:p>
    <w:p>
      <w:pPr>
        <w:pStyle w:val="128"/>
      </w:pPr>
      <w:r>
        <w:t>鼓励引导企业</w:t>
      </w:r>
      <w:r>
        <w:rPr>
          <w:rFonts w:hint="eastAsia"/>
        </w:rPr>
        <w:t>、</w:t>
      </w:r>
      <w:r>
        <w:t>项目向园区和基地集中，增强产业集聚</w:t>
      </w:r>
      <w:r>
        <w:rPr>
          <w:rFonts w:hint="eastAsia"/>
        </w:rPr>
        <w:t>效应</w:t>
      </w:r>
      <w:r>
        <w:t>。</w:t>
      </w:r>
      <w:r>
        <w:rPr>
          <w:rFonts w:hint="eastAsia"/>
        </w:rPr>
        <w:t>修编完善</w:t>
      </w:r>
      <w:r>
        <w:t>工业园区发展规划，推动园区优化整合、改造提升，加快重点园区的建设，坚持工业园区定期</w:t>
      </w:r>
      <w:r>
        <w:rPr>
          <w:rFonts w:hint="eastAsia"/>
        </w:rPr>
        <w:t>观摩</w:t>
      </w:r>
      <w:r>
        <w:t>和推进制度，</w:t>
      </w:r>
      <w:r>
        <w:rPr>
          <w:rFonts w:hint="eastAsia"/>
        </w:rPr>
        <w:t>将</w:t>
      </w:r>
      <w:r>
        <w:t>园区建设任务细化到各相关部门，切实强化督查考核。</w:t>
      </w:r>
      <w:r>
        <w:rPr>
          <w:rFonts w:hint="eastAsia"/>
        </w:rPr>
        <w:t>鼓励民间</w:t>
      </w:r>
      <w:r>
        <w:t>资本参与园区开发，加快标准厂房、配套设施、服务平台建设，提升园区综合承载力。整合</w:t>
      </w:r>
      <w:r>
        <w:rPr>
          <w:rFonts w:hint="eastAsia"/>
        </w:rPr>
        <w:t>园区</w:t>
      </w:r>
      <w:r>
        <w:t>要素资源，加大水、电、路、气、通讯及垃圾处理等基础设施建设力度，突破土地制约瓶颈，为项目落户和企业生产做好要素保障。</w:t>
      </w:r>
      <w:r>
        <w:rPr>
          <w:rFonts w:hint="eastAsia"/>
        </w:rPr>
        <w:t>重点</w:t>
      </w:r>
      <w:r>
        <w:t>做好高新</w:t>
      </w:r>
      <w:r>
        <w:rPr>
          <w:rFonts w:hint="eastAsia"/>
        </w:rPr>
        <w:t>区</w:t>
      </w:r>
      <w:r>
        <w:t>、</w:t>
      </w:r>
      <w:bookmarkStart w:id="36" w:name="OLE_LINK9"/>
      <w:r>
        <w:rPr>
          <w:rFonts w:hint="eastAsia"/>
        </w:rPr>
        <w:t>大荔</w:t>
      </w:r>
      <w:bookmarkEnd w:id="36"/>
      <w:r>
        <w:rPr>
          <w:rFonts w:hint="eastAsia"/>
        </w:rPr>
        <w:t>和蒲城高新技术</w:t>
      </w:r>
      <w:r>
        <w:t>开发区创新发展</w:t>
      </w:r>
      <w:r>
        <w:rPr>
          <w:rFonts w:hint="eastAsia"/>
        </w:rPr>
        <w:t>和</w:t>
      </w:r>
      <w:r>
        <w:t>基础设施建设工作</w:t>
      </w:r>
      <w:r>
        <w:rPr>
          <w:rFonts w:hint="eastAsia"/>
        </w:rPr>
        <w:t>。</w:t>
      </w:r>
      <w:r>
        <w:t>支持</w:t>
      </w:r>
      <w:r>
        <w:rPr>
          <w:rFonts w:hint="eastAsia"/>
        </w:rPr>
        <w:t>企业</w:t>
      </w:r>
      <w:r>
        <w:t>开展技术创新，</w:t>
      </w:r>
      <w:r>
        <w:rPr>
          <w:rFonts w:hint="eastAsia"/>
        </w:rPr>
        <w:t>加快</w:t>
      </w:r>
      <w:r>
        <w:t>科技成果转化，推进企业战略性</w:t>
      </w:r>
      <w:r>
        <w:rPr>
          <w:rFonts w:hint="eastAsia"/>
        </w:rPr>
        <w:t>兼并重组</w:t>
      </w:r>
      <w:r>
        <w:t>、强强联合，培育一批竞争力强的大企业、大集团，提升产业园区综合发展水平。</w:t>
      </w:r>
    </w:p>
    <w:p>
      <w:pPr>
        <w:pStyle w:val="126"/>
      </w:pPr>
      <w:r>
        <w:rPr>
          <w:rFonts w:hint="eastAsia"/>
        </w:rPr>
        <w:t>充分利用地缘优势</w:t>
      </w:r>
      <w:r>
        <w:t>，</w:t>
      </w:r>
      <w:r>
        <w:rPr>
          <w:rFonts w:hint="eastAsia"/>
        </w:rPr>
        <w:t>加强</w:t>
      </w:r>
      <w:r>
        <w:t>与西安的互动</w:t>
      </w:r>
      <w:r>
        <w:rPr>
          <w:rFonts w:hint="eastAsia"/>
        </w:rPr>
        <w:t>合作</w:t>
      </w:r>
    </w:p>
    <w:p>
      <w:pPr>
        <w:pStyle w:val="128"/>
      </w:pPr>
      <w:r>
        <w:t>依托渭南的交通区位优势和西安的技术人才优势，推进战略性新兴产业发展的要素聚集，加强高端技术人才引进，强化人才支撑。壮大技术能力，加强与省内外的科研院所、重点实验室、工程技术研究中心等科技力量对接，实现技术跨越式发展。在提升产业智能化、自动化、绿色化水平的基础上，逐步延伸产业链，扶持大批中小型企业，完善产业配套体系，形成战略性新兴产业群。</w:t>
      </w:r>
    </w:p>
    <w:p>
      <w:pPr>
        <w:pStyle w:val="128"/>
      </w:pPr>
      <w:r>
        <w:rPr>
          <w:rFonts w:hint="eastAsia"/>
        </w:rPr>
        <w:t>主动</w:t>
      </w:r>
      <w:r>
        <w:t>融入西安产业发展</w:t>
      </w:r>
      <w:r>
        <w:rPr>
          <w:rFonts w:hint="eastAsia"/>
        </w:rPr>
        <w:t>路线</w:t>
      </w:r>
      <w:r>
        <w:t>，</w:t>
      </w:r>
      <w:r>
        <w:rPr>
          <w:rFonts w:hint="eastAsia"/>
        </w:rPr>
        <w:t>挖掘产业</w:t>
      </w:r>
      <w:r>
        <w:t>发展需求，</w:t>
      </w:r>
      <w:r>
        <w:rPr>
          <w:rFonts w:hint="eastAsia"/>
        </w:rPr>
        <w:t>对接西安</w:t>
      </w:r>
      <w:r>
        <w:t>国际港务区、阎良</w:t>
      </w:r>
      <w:r>
        <w:rPr>
          <w:rFonts w:hint="eastAsia"/>
        </w:rPr>
        <w:t>航空</w:t>
      </w:r>
      <w:r>
        <w:t>工业</w:t>
      </w:r>
      <w:r>
        <w:rPr>
          <w:rFonts w:hint="eastAsia"/>
        </w:rPr>
        <w:t>区</w:t>
      </w:r>
      <w:r>
        <w:t>、</w:t>
      </w:r>
      <w:r>
        <w:rPr>
          <w:rFonts w:hint="eastAsia"/>
        </w:rPr>
        <w:t>渭北工业区等新兴</w:t>
      </w:r>
      <w:r>
        <w:t>工业组团</w:t>
      </w:r>
      <w:r>
        <w:rPr>
          <w:rFonts w:hint="eastAsia"/>
        </w:rPr>
        <w:t>，积极</w:t>
      </w:r>
      <w:r>
        <w:t>寻求合作发展，</w:t>
      </w:r>
      <w:r>
        <w:rPr>
          <w:rFonts w:hint="eastAsia"/>
        </w:rPr>
        <w:t>主动</w:t>
      </w:r>
      <w:r>
        <w:t>承接西安市的产业发展外溢，</w:t>
      </w:r>
      <w:r>
        <w:rPr>
          <w:rFonts w:hint="eastAsia"/>
        </w:rPr>
        <w:t>发展</w:t>
      </w:r>
      <w:r>
        <w:t>相关</w:t>
      </w:r>
      <w:r>
        <w:rPr>
          <w:rFonts w:hint="eastAsia"/>
        </w:rPr>
        <w:t>上下游</w:t>
      </w:r>
      <w:r>
        <w:t>产业。</w:t>
      </w:r>
    </w:p>
    <w:p>
      <w:pPr>
        <w:pStyle w:val="125"/>
      </w:pPr>
      <w:bookmarkStart w:id="37" w:name="_Toc11941"/>
      <w:r>
        <w:rPr>
          <w:rFonts w:hint="eastAsia"/>
        </w:rPr>
        <w:t>战略定位</w:t>
      </w:r>
      <w:bookmarkEnd w:id="37"/>
    </w:p>
    <w:p>
      <w:pPr>
        <w:pStyle w:val="128"/>
      </w:pPr>
      <w:r>
        <w:rPr>
          <w:rFonts w:hint="eastAsia"/>
        </w:rPr>
        <w:t>基于</w:t>
      </w:r>
      <w:r>
        <w:t>渭南市的区位优势，</w:t>
      </w:r>
      <w:r>
        <w:rPr>
          <w:rFonts w:hint="eastAsia"/>
        </w:rPr>
        <w:t>产业发展基础</w:t>
      </w:r>
      <w:r>
        <w:t>和产业发展思路，确定渭南市的产业发展定位为：</w:t>
      </w:r>
    </w:p>
    <w:p>
      <w:pPr>
        <w:pStyle w:val="128"/>
      </w:pPr>
      <w:r>
        <w:rPr>
          <w:rFonts w:hint="eastAsia"/>
        </w:rPr>
        <w:t>（1）关天经济区产业发展</w:t>
      </w:r>
      <w:r>
        <w:t>的重要增长极</w:t>
      </w:r>
    </w:p>
    <w:p>
      <w:pPr>
        <w:pStyle w:val="128"/>
      </w:pPr>
      <w:r>
        <w:rPr>
          <w:rFonts w:hint="eastAsia"/>
        </w:rPr>
        <w:t>以装备制造</w:t>
      </w:r>
      <w:r>
        <w:t>、现代能源化工、新能源新材料为重点，</w:t>
      </w:r>
      <w:r>
        <w:rPr>
          <w:rFonts w:hint="eastAsia"/>
        </w:rPr>
        <w:t>深化</w:t>
      </w:r>
      <w:r>
        <w:t>多层次宽领域交流合作，大力发展战略新</w:t>
      </w:r>
      <w:r>
        <w:rPr>
          <w:rFonts w:hint="eastAsia"/>
        </w:rPr>
        <w:t>兴</w:t>
      </w:r>
      <w:r>
        <w:t>产业和高技术产业，加快产业集聚发展，加速新型工业强市建设</w:t>
      </w:r>
      <w:r>
        <w:rPr>
          <w:rFonts w:hint="eastAsia"/>
        </w:rPr>
        <w:t>，</w:t>
      </w:r>
      <w:r>
        <w:t>建成</w:t>
      </w:r>
      <w:r>
        <w:rPr>
          <w:rFonts w:hint="eastAsia"/>
        </w:rPr>
        <w:t>陕西省</w:t>
      </w:r>
      <w:r>
        <w:t>、</w:t>
      </w:r>
      <w:r>
        <w:rPr>
          <w:rFonts w:hint="eastAsia"/>
        </w:rPr>
        <w:t>关中</w:t>
      </w:r>
      <w:r>
        <w:t>-</w:t>
      </w:r>
      <w:r>
        <w:rPr>
          <w:rFonts w:hint="eastAsia"/>
        </w:rPr>
        <w:t>天水经济区产业发展</w:t>
      </w:r>
      <w:r>
        <w:t>的重要增长极。</w:t>
      </w:r>
    </w:p>
    <w:p>
      <w:pPr>
        <w:pStyle w:val="128"/>
      </w:pPr>
      <w:r>
        <w:rPr>
          <w:rFonts w:hint="eastAsia"/>
        </w:rPr>
        <w:t>（2）全国新能源新材料产业发展示范城市</w:t>
      </w:r>
    </w:p>
    <w:p>
      <w:pPr>
        <w:pStyle w:val="128"/>
      </w:pPr>
      <w:r>
        <w:rPr>
          <w:rFonts w:hint="eastAsia"/>
        </w:rPr>
        <w:t>充分结合本地</w:t>
      </w:r>
      <w:r>
        <w:t>资源优势、区位优势，</w:t>
      </w:r>
      <w:r>
        <w:rPr>
          <w:rFonts w:hint="eastAsia"/>
        </w:rPr>
        <w:t>大力发展</w:t>
      </w:r>
      <w:r>
        <w:t>新能源产业，</w:t>
      </w:r>
      <w:r>
        <w:rPr>
          <w:rFonts w:hint="eastAsia"/>
        </w:rPr>
        <w:t>积极开展</w:t>
      </w:r>
      <w:r>
        <w:t>风能、太阳能、生物质能和地热能的技术推广应用，</w:t>
      </w:r>
      <w:r>
        <w:rPr>
          <w:rFonts w:hint="eastAsia"/>
        </w:rPr>
        <w:t>建设</w:t>
      </w:r>
      <w:r>
        <w:t>高比例可再生能源清洁示范城市</w:t>
      </w:r>
      <w:r>
        <w:rPr>
          <w:rFonts w:hint="eastAsia"/>
        </w:rPr>
        <w:t>；大力</w:t>
      </w:r>
      <w:r>
        <w:t>引进、发展新材料的技术研发和应用，</w:t>
      </w:r>
      <w:r>
        <w:rPr>
          <w:rFonts w:hint="eastAsia"/>
        </w:rPr>
        <w:t>形成</w:t>
      </w:r>
      <w:r>
        <w:t>关中地区重要的新材料产业开发集群</w:t>
      </w:r>
      <w:r>
        <w:rPr>
          <w:rFonts w:hint="eastAsia"/>
        </w:rPr>
        <w:t>。推动</w:t>
      </w:r>
      <w:r>
        <w:t>渭南市能源结构调整，促进产业升级转型，寻找新的经济增长点。</w:t>
      </w:r>
    </w:p>
    <w:p>
      <w:pPr>
        <w:pStyle w:val="128"/>
      </w:pPr>
      <w:r>
        <w:rPr>
          <w:rFonts w:hint="eastAsia"/>
        </w:rPr>
        <w:t>（3）全国新能源综合应用示范城市</w:t>
      </w:r>
    </w:p>
    <w:p>
      <w:pPr>
        <w:pStyle w:val="128"/>
      </w:pPr>
      <w:r>
        <w:rPr>
          <w:rFonts w:hint="eastAsia"/>
        </w:rPr>
        <w:t>大力发展太阳能、风能、生物质、地热综合应用</w:t>
      </w:r>
      <w:r>
        <w:t>技术，</w:t>
      </w:r>
      <w:r>
        <w:rPr>
          <w:rFonts w:hint="eastAsia"/>
        </w:rPr>
        <w:t>建设</w:t>
      </w:r>
      <w:r>
        <w:t>多能互补的电源</w:t>
      </w:r>
      <w:r>
        <w:rPr>
          <w:rFonts w:hint="eastAsia"/>
        </w:rPr>
        <w:t>模式</w:t>
      </w:r>
      <w:r>
        <w:t>，</w:t>
      </w:r>
      <w:r>
        <w:rPr>
          <w:rFonts w:hint="eastAsia"/>
        </w:rPr>
        <w:t>推广</w:t>
      </w:r>
      <w:r>
        <w:t>智能微网、能源互联网等先进技术应用，</w:t>
      </w:r>
      <w:r>
        <w:rPr>
          <w:rFonts w:hint="eastAsia"/>
        </w:rPr>
        <w:t>提倡</w:t>
      </w:r>
      <w:r>
        <w:t>绿色出行方式，鼓励新能源汽车、</w:t>
      </w:r>
      <w:r>
        <w:rPr>
          <w:rFonts w:hint="eastAsia"/>
        </w:rPr>
        <w:t>建筑光伏</w:t>
      </w:r>
      <w:r>
        <w:t>应用，</w:t>
      </w:r>
      <w:r>
        <w:rPr>
          <w:rFonts w:hint="eastAsia"/>
        </w:rPr>
        <w:t>建设</w:t>
      </w:r>
      <w:r>
        <w:t>新能源汽车配套的充电桩、充电站等公共配套设施</w:t>
      </w:r>
      <w:r>
        <w:rPr>
          <w:rFonts w:hint="eastAsia"/>
        </w:rPr>
        <w:t>。</w:t>
      </w:r>
      <w:r>
        <w:t>打造</w:t>
      </w:r>
      <w:r>
        <w:rPr>
          <w:rFonts w:hint="eastAsia"/>
        </w:rPr>
        <w:t>全国</w:t>
      </w:r>
      <w:r>
        <w:t>新能源综合应用示范城市。</w:t>
      </w:r>
    </w:p>
    <w:p>
      <w:pPr>
        <w:pStyle w:val="125"/>
      </w:pPr>
      <w:bookmarkStart w:id="38" w:name="_Toc25282"/>
      <w:r>
        <w:rPr>
          <w:rFonts w:hint="eastAsia"/>
        </w:rPr>
        <w:t>发展目标</w:t>
      </w:r>
      <w:bookmarkEnd w:id="38"/>
    </w:p>
    <w:p>
      <w:pPr>
        <w:pStyle w:val="128"/>
      </w:pPr>
      <w:r>
        <w:rPr>
          <w:rFonts w:hint="eastAsia"/>
        </w:rPr>
        <w:t>（1）总体</w:t>
      </w:r>
      <w:r>
        <w:t>目标</w:t>
      </w:r>
    </w:p>
    <w:p>
      <w:pPr>
        <w:pStyle w:val="128"/>
      </w:pPr>
      <w:r>
        <w:rPr>
          <w:rFonts w:hint="eastAsia"/>
        </w:rPr>
        <w:t>到2020年，力争使战略性新兴产业成为国民经济和社会发展的重要推动力量，增加值占国内生产总值比重达到15%，部分产业和关键技术跻身国际先进水平，节能环保、新一代信息技术、生物、高端装备制造产业成为渭南市国民经济支柱产业</w:t>
      </w:r>
      <w:r>
        <w:rPr>
          <w:rFonts w:hint="eastAsia"/>
          <w:lang w:eastAsia="zh-CN"/>
        </w:rPr>
        <w:t>。</w:t>
      </w:r>
      <w:r>
        <w:rPr>
          <w:rFonts w:hint="eastAsia"/>
        </w:rPr>
        <w:t>新能源、新材料产业</w:t>
      </w:r>
      <w:r>
        <w:rPr>
          <w:rFonts w:hint="eastAsia"/>
          <w:lang w:eastAsia="zh-CN"/>
        </w:rPr>
        <w:t>集群发展，总产值超过</w:t>
      </w:r>
      <w:r>
        <w:rPr>
          <w:rFonts w:hint="eastAsia"/>
          <w:lang w:val="en-US" w:eastAsia="zh-CN"/>
        </w:rPr>
        <w:t>1000亿元</w:t>
      </w:r>
      <w:r>
        <w:rPr>
          <w:rFonts w:hint="eastAsia"/>
        </w:rPr>
        <w:t>。</w:t>
      </w:r>
    </w:p>
    <w:p>
      <w:pPr>
        <w:pStyle w:val="128"/>
      </w:pPr>
      <w:r>
        <w:rPr>
          <w:rFonts w:hint="eastAsia"/>
        </w:rPr>
        <w:t>（2）具体</w:t>
      </w:r>
      <w:r>
        <w:t>目标</w:t>
      </w:r>
    </w:p>
    <w:p>
      <w:pPr>
        <w:pStyle w:val="128"/>
      </w:pPr>
      <w:r>
        <w:rPr>
          <w:rFonts w:hint="eastAsia"/>
        </w:rPr>
        <w:t>战略性新兴产业规模年均增长率保持在20%以上，到2020年</w:t>
      </w:r>
      <w:r>
        <w:t>，</w:t>
      </w:r>
      <w:r>
        <w:rPr>
          <w:rFonts w:hint="eastAsia"/>
        </w:rPr>
        <w:t>形成5个</w:t>
      </w:r>
      <w:r>
        <w:t>重点</w:t>
      </w:r>
      <w:r>
        <w:rPr>
          <w:rFonts w:hint="eastAsia"/>
        </w:rPr>
        <w:t>发展</w:t>
      </w:r>
      <w:r>
        <w:t>园区</w:t>
      </w:r>
      <w:r>
        <w:rPr>
          <w:rFonts w:hint="eastAsia"/>
        </w:rPr>
        <w:t>：富平高新技术产业园、华州区钼基新材料</w:t>
      </w:r>
      <w:r>
        <w:t>产业园</w:t>
      </w:r>
      <w:r>
        <w:rPr>
          <w:rFonts w:hint="eastAsia"/>
        </w:rPr>
        <w:t>、渭南高新区</w:t>
      </w:r>
      <w:r>
        <w:t>特色新</w:t>
      </w:r>
      <w:r>
        <w:rPr>
          <w:rFonts w:hint="eastAsia"/>
        </w:rPr>
        <w:t>材料</w:t>
      </w:r>
      <w:r>
        <w:t>产业园</w:t>
      </w:r>
      <w:r>
        <w:rPr>
          <w:rFonts w:hint="eastAsia"/>
        </w:rPr>
        <w:t>、渭南市</w:t>
      </w:r>
      <w:r>
        <w:t>高新区新能源汽车产业园区</w:t>
      </w:r>
      <w:r>
        <w:rPr>
          <w:rFonts w:hint="eastAsia"/>
        </w:rPr>
        <w:t>、高新区</w:t>
      </w:r>
      <w:r>
        <w:t>新能源产业园区</w:t>
      </w:r>
      <w:r>
        <w:rPr>
          <w:rFonts w:hint="eastAsia"/>
        </w:rPr>
        <w:t>。每个</w:t>
      </w:r>
      <w:r>
        <w:t>园区能够引入</w:t>
      </w:r>
      <w:r>
        <w:rPr>
          <w:rFonts w:hint="eastAsia"/>
        </w:rPr>
        <w:t>1</w:t>
      </w:r>
      <w:r>
        <w:rPr>
          <w:rFonts w:hint="eastAsia" w:hAnsi="宋体"/>
        </w:rPr>
        <w:t>～</w:t>
      </w:r>
      <w:r>
        <w:t>2</w:t>
      </w:r>
      <w:r>
        <w:rPr>
          <w:rFonts w:hint="eastAsia"/>
        </w:rPr>
        <w:t>家</w:t>
      </w:r>
      <w:r>
        <w:t>大型龙头企业或核心技术企业</w:t>
      </w:r>
      <w:r>
        <w:rPr>
          <w:rFonts w:hint="eastAsia"/>
        </w:rPr>
        <w:t>，</w:t>
      </w:r>
      <w:r>
        <w:t>形成园区集聚的引力点</w:t>
      </w:r>
      <w:r>
        <w:rPr>
          <w:rFonts w:hint="eastAsia"/>
        </w:rPr>
        <w:t>，形成一批具有较强自主创新能力和技术引领作用的骨干企业，一批特色鲜明的产业链和产业集聚区，在部分领域成为全国重要的研发制造基地。</w:t>
      </w:r>
    </w:p>
    <w:p>
      <w:pPr>
        <w:pStyle w:val="128"/>
      </w:pPr>
      <w:r>
        <w:t>到</w:t>
      </w:r>
      <w:r>
        <w:rPr>
          <w:rFonts w:hint="eastAsia"/>
        </w:rPr>
        <w:t>2020年</w:t>
      </w:r>
      <w:r>
        <w:t>，</w:t>
      </w:r>
      <w:r>
        <w:rPr>
          <w:rFonts w:hint="eastAsia"/>
        </w:rPr>
        <w:t>渭南市</w:t>
      </w:r>
      <w:r>
        <w:t>非水可再生能源</w:t>
      </w:r>
      <w:r>
        <w:rPr>
          <w:rFonts w:hint="eastAsia"/>
        </w:rPr>
        <w:t>用电量</w:t>
      </w:r>
      <w:r>
        <w:t>比例</w:t>
      </w:r>
      <w:r>
        <w:rPr>
          <w:rFonts w:hint="eastAsia"/>
        </w:rPr>
        <w:t>超过15</w:t>
      </w:r>
      <w:r>
        <w:t>%，</w:t>
      </w:r>
      <w:r>
        <w:rPr>
          <w:rFonts w:hint="eastAsia"/>
        </w:rPr>
        <w:t>大力</w:t>
      </w:r>
      <w:r>
        <w:t>发展光伏电站，有序</w:t>
      </w:r>
      <w:r>
        <w:rPr>
          <w:rFonts w:hint="eastAsia"/>
        </w:rPr>
        <w:t>发展</w:t>
      </w:r>
      <w:r>
        <w:t>风力发电</w:t>
      </w:r>
      <w:r>
        <w:rPr>
          <w:rFonts w:hint="eastAsia"/>
        </w:rPr>
        <w:t>、</w:t>
      </w:r>
      <w:r>
        <w:t>地热能和生物质能的利用</w:t>
      </w:r>
      <w:r>
        <w:rPr>
          <w:rFonts w:hint="eastAsia"/>
        </w:rPr>
        <w:t>，积极</w:t>
      </w:r>
      <w:r>
        <w:t>开展分布式发电</w:t>
      </w:r>
      <w:r>
        <w:rPr>
          <w:rFonts w:hint="eastAsia"/>
        </w:rPr>
        <w:t>示范</w:t>
      </w:r>
      <w:r>
        <w:t>项目，持续推广新能源汽车应用，</w:t>
      </w:r>
      <w:r>
        <w:rPr>
          <w:rFonts w:hint="eastAsia"/>
        </w:rPr>
        <w:t>开展</w:t>
      </w:r>
      <w:r>
        <w:t>充电站</w:t>
      </w:r>
      <w:r>
        <w:rPr>
          <w:rFonts w:hint="eastAsia"/>
        </w:rPr>
        <w:t>、</w:t>
      </w:r>
      <w:r>
        <w:t>桩等基础设施布点。到</w:t>
      </w:r>
      <w:r>
        <w:rPr>
          <w:rFonts w:hint="eastAsia"/>
        </w:rPr>
        <w:t>2020年</w:t>
      </w:r>
      <w:r>
        <w:t>，初步形成完整的光伏产业链，突破</w:t>
      </w:r>
      <w:r>
        <w:rPr>
          <w:rFonts w:hint="eastAsia"/>
        </w:rPr>
        <w:t>低风速发电</w:t>
      </w:r>
      <w:r>
        <w:t>、地热能</w:t>
      </w:r>
      <w:r>
        <w:rPr>
          <w:rFonts w:hint="eastAsia"/>
        </w:rPr>
        <w:t>和</w:t>
      </w:r>
      <w:r>
        <w:t>生物质能开发利用的</w:t>
      </w:r>
      <w:r>
        <w:rPr>
          <w:rFonts w:hint="eastAsia"/>
        </w:rPr>
        <w:t>1～</w:t>
      </w:r>
      <w:r>
        <w:t>2</w:t>
      </w:r>
      <w:r>
        <w:rPr>
          <w:rFonts w:hint="eastAsia"/>
        </w:rPr>
        <w:t>项</w:t>
      </w:r>
      <w:r>
        <w:t>关键核心技术，</w:t>
      </w:r>
      <w:r>
        <w:rPr>
          <w:rFonts w:hint="eastAsia"/>
        </w:rPr>
        <w:t>为</w:t>
      </w:r>
      <w:r>
        <w:t>渭南市后期发展奠定基础。</w:t>
      </w:r>
    </w:p>
    <w:p>
      <w:pPr>
        <w:pStyle w:val="125"/>
      </w:pPr>
      <w:bookmarkStart w:id="39" w:name="_Toc15843"/>
      <w:r>
        <w:rPr>
          <w:rFonts w:hint="eastAsia"/>
        </w:rPr>
        <w:t>产业发展策略</w:t>
      </w:r>
      <w:bookmarkEnd w:id="39"/>
    </w:p>
    <w:p>
      <w:pPr>
        <w:pStyle w:val="126"/>
      </w:pPr>
      <w:bookmarkStart w:id="40" w:name="_Toc209426652"/>
      <w:r>
        <w:rPr>
          <w:rFonts w:hint="eastAsia"/>
        </w:rPr>
        <w:t>产业链</w:t>
      </w:r>
      <w:bookmarkEnd w:id="40"/>
      <w:r>
        <w:rPr>
          <w:rFonts w:hint="eastAsia"/>
        </w:rPr>
        <w:t>延伸策略</w:t>
      </w:r>
    </w:p>
    <w:p>
      <w:pPr>
        <w:pStyle w:val="128"/>
      </w:pPr>
      <w:r>
        <w:rPr>
          <w:rFonts w:hint="eastAsia"/>
        </w:rPr>
        <w:t>针对渭南现状产业发展以资源型及初加工产业为主的特征，一方面，延长产业链，发展精深加工，提高产业附加值，将资源优势转化为产业优势和经济优势。另一方面，以东部产业转移为契机，积极承接相关联的新兴优势产业，扩大产业规模，提升经济总量。同时提高产业的多样性，避免出现对资源的过度依赖。</w:t>
      </w:r>
    </w:p>
    <w:p>
      <w:pPr>
        <w:pStyle w:val="129"/>
      </w:pPr>
      <w:r>
        <w:drawing>
          <wp:inline distT="0" distB="0" distL="0" distR="0">
            <wp:extent cx="2523490" cy="2466975"/>
            <wp:effectExtent l="0" t="0" r="0" b="0"/>
            <wp:docPr id="3" name="图片 3" descr="延伸产业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延伸产业链"/>
                    <pic:cNvPicPr>
                      <a:picLocks noChangeAspect="1" noChangeArrowheads="1"/>
                    </pic:cNvPicPr>
                  </pic:nvPicPr>
                  <pic:blipFill>
                    <a:blip r:embed="rId36">
                      <a:extLst>
                        <a:ext uri="{28A0092B-C50C-407E-A947-70E740481C1C}">
                          <a14:useLocalDpi xmlns:a14="http://schemas.microsoft.com/office/drawing/2010/main" val="0"/>
                        </a:ext>
                      </a:extLst>
                    </a:blip>
                    <a:srcRect t="2210" b="2381"/>
                    <a:stretch>
                      <a:fillRect/>
                    </a:stretch>
                  </pic:blipFill>
                  <pic:spPr>
                    <a:xfrm>
                      <a:off x="0" y="0"/>
                      <a:ext cx="2563719" cy="2505864"/>
                    </a:xfrm>
                    <a:prstGeom prst="rect">
                      <a:avLst/>
                    </a:prstGeom>
                    <a:noFill/>
                    <a:ln>
                      <a:noFill/>
                    </a:ln>
                  </pic:spPr>
                </pic:pic>
              </a:graphicData>
            </a:graphic>
          </wp:inline>
        </w:drawing>
      </w:r>
    </w:p>
    <w:p>
      <w:pPr>
        <w:pStyle w:val="137"/>
        <w:numPr>
          <w:ilvl w:val="0"/>
          <w:numId w:val="12"/>
        </w:numPr>
      </w:pPr>
      <w:r>
        <w:rPr>
          <w:rFonts w:hint="eastAsia"/>
        </w:rPr>
        <w:t>渭南产业拓展模式图</w:t>
      </w:r>
    </w:p>
    <w:p>
      <w:pPr>
        <w:pStyle w:val="126"/>
      </w:pPr>
      <w:bookmarkStart w:id="41" w:name="_Toc209426654"/>
      <w:r>
        <w:rPr>
          <w:rFonts w:hint="eastAsia"/>
        </w:rPr>
        <w:t>产业集群</w:t>
      </w:r>
      <w:bookmarkEnd w:id="41"/>
      <w:r>
        <w:rPr>
          <w:rFonts w:hint="eastAsia"/>
        </w:rPr>
        <w:t>策略</w:t>
      </w:r>
    </w:p>
    <w:p>
      <w:pPr>
        <w:pStyle w:val="128"/>
      </w:pPr>
      <w:r>
        <w:rPr>
          <w:rFonts w:hint="eastAsia"/>
        </w:rPr>
        <w:t>产业集群是在某一特定领域（通常以一个主导产业为核心）中，大量产业联系密切的企业及相关支撑机构在空间上集聚，并形成强劲、持续竞争优势的现象（poter，1998）。产业集群内部的协同效应和自强化机制能够极大的提升产业竞争力，成为区域竞争力的源泉。装备制造业工艺加工过程长、迂回生产方式明显、专业化协作要求高、产品协作配套范围广、中间产品交易量大、产业链条长、产业关联度大、产业集中度高，最适合采取产业集群这一新型的产业组织形式。</w:t>
      </w:r>
    </w:p>
    <w:p>
      <w:pPr>
        <w:pStyle w:val="128"/>
      </w:pPr>
      <w:r>
        <w:rPr>
          <w:rFonts w:hint="eastAsia"/>
        </w:rPr>
        <w:t>集群不单是企业在一定地域上的集中，而是基于产业链的有机集合。集群的生命力在于产业链，即产业之间的实质性关联，只有基于产业链的空间集聚，才能形成产业集群。渭南产业发展必须坚持产业集群原则，塑造若干具有竞争力的产业集群。</w:t>
      </w:r>
    </w:p>
    <w:p>
      <w:pPr>
        <w:pStyle w:val="129"/>
      </w:pPr>
      <w:r>
        <w:rPr>
          <w:rFonts w:hint="eastAsia"/>
        </w:rPr>
        <w:drawing>
          <wp:inline distT="0" distB="0" distL="0" distR="0">
            <wp:extent cx="4114800" cy="2092960"/>
            <wp:effectExtent l="19050" t="19050" r="0" b="2540"/>
            <wp:docPr id="4" name="图片 4" descr="产业集群模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产业集群模式图"/>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4142220" cy="2107023"/>
                    </a:xfrm>
                    <a:prstGeom prst="rect">
                      <a:avLst/>
                    </a:prstGeom>
                    <a:noFill/>
                    <a:ln w="9525">
                      <a:solidFill>
                        <a:srgbClr val="000000"/>
                      </a:solidFill>
                      <a:miter lim="800000"/>
                      <a:headEnd/>
                      <a:tailEnd/>
                    </a:ln>
                  </pic:spPr>
                </pic:pic>
              </a:graphicData>
            </a:graphic>
          </wp:inline>
        </w:drawing>
      </w:r>
    </w:p>
    <w:p>
      <w:pPr>
        <w:pStyle w:val="137"/>
        <w:numPr>
          <w:ilvl w:val="0"/>
          <w:numId w:val="12"/>
        </w:numPr>
      </w:pPr>
      <w:r>
        <w:rPr>
          <w:rFonts w:hint="eastAsia"/>
        </w:rPr>
        <w:t>渭南市产业集群发展模式图</w:t>
      </w:r>
    </w:p>
    <w:p>
      <w:pPr>
        <w:pStyle w:val="126"/>
      </w:pPr>
      <w:bookmarkStart w:id="42" w:name="_Toc209426656"/>
      <w:r>
        <w:rPr>
          <w:rFonts w:hint="eastAsia"/>
        </w:rPr>
        <w:t>循环经济</w:t>
      </w:r>
      <w:bookmarkEnd w:id="42"/>
      <w:r>
        <w:rPr>
          <w:rFonts w:hint="eastAsia"/>
        </w:rPr>
        <w:t>策略</w:t>
      </w:r>
    </w:p>
    <w:p>
      <w:pPr>
        <w:pStyle w:val="128"/>
      </w:pPr>
      <w:r>
        <w:rPr>
          <w:rFonts w:hint="eastAsia"/>
        </w:rPr>
        <w:t>循环经济是与传统经济活动的“资源消费—产品—废物排放”的开放(或单程)物质流动模式相对应的“资源消费—产品—再生资源”闭环型物质流动模式。</w:t>
      </w:r>
    </w:p>
    <w:p>
      <w:pPr>
        <w:pStyle w:val="128"/>
      </w:pPr>
      <w:r>
        <w:rPr>
          <w:rFonts w:hint="eastAsia"/>
        </w:rPr>
        <w:t>传统经济是“资源－产品－废弃物”的单向直线过程，创造的财富越多，消耗的资源和产生的废弃物就越多，对环境资源的负面影响也就越大。循环经济则以尽可能小的资源消耗和环境成本，获得尽可能大的经济和社会效益，从而使经济系统与自然生态系统的物质循环过程相互和谐，促进资源永续利用。 因此，循环经济是对“大量生产、大量消费、大量废弃”的传统经济模式的根本变革。其基本特征是：</w:t>
      </w:r>
    </w:p>
    <w:p>
      <w:pPr>
        <w:pStyle w:val="128"/>
      </w:pPr>
      <w:r>
        <w:rPr>
          <w:rFonts w:hint="eastAsia"/>
        </w:rPr>
        <w:t>在资源开采环节，要大力提高资源综合开发和回收利用率。</w:t>
      </w:r>
    </w:p>
    <w:p>
      <w:pPr>
        <w:pStyle w:val="128"/>
      </w:pPr>
      <w:r>
        <w:rPr>
          <w:rFonts w:hint="eastAsia"/>
        </w:rPr>
        <w:t>在资源消耗环节，要大力提高资源利用效率。</w:t>
      </w:r>
    </w:p>
    <w:p>
      <w:pPr>
        <w:pStyle w:val="128"/>
      </w:pPr>
      <w:r>
        <w:rPr>
          <w:rFonts w:hint="eastAsia"/>
        </w:rPr>
        <w:t>在废弃物产生环节，要大力开展资源综合利用。</w:t>
      </w:r>
    </w:p>
    <w:p>
      <w:pPr>
        <w:pStyle w:val="128"/>
      </w:pPr>
      <w:r>
        <w:rPr>
          <w:rFonts w:hint="eastAsia"/>
        </w:rPr>
        <w:t>在再生资源产生环节，要大力回收和循环利用各种废旧资源。</w:t>
      </w:r>
    </w:p>
    <w:p>
      <w:pPr>
        <w:pStyle w:val="128"/>
      </w:pPr>
      <w:r>
        <w:rPr>
          <w:rFonts w:hint="eastAsia"/>
        </w:rPr>
        <w:t>在社会消费环节，要大力提倡绿色消费。</w:t>
      </w:r>
    </w:p>
    <w:p>
      <w:pPr>
        <w:pStyle w:val="128"/>
      </w:pPr>
      <w:r>
        <w:rPr>
          <w:rFonts w:hint="eastAsia"/>
        </w:rPr>
        <w:t>在</w:t>
      </w:r>
      <w:r>
        <w:t>循环经济策略中，高效利用和循环利用资源是核心。</w:t>
      </w:r>
      <w:r>
        <w:rPr>
          <w:rFonts w:hint="eastAsia"/>
        </w:rPr>
        <w:t>其</w:t>
      </w:r>
      <w:r>
        <w:t>根本目的是要求在经济流程中尽可能减少资源投入，并且系统地避免和减少废物</w:t>
      </w:r>
      <w:r>
        <w:rPr>
          <w:rFonts w:hint="eastAsia"/>
        </w:rPr>
        <w:t>。循环经济</w:t>
      </w:r>
      <w:r>
        <w:t>应遵循“3R”</w:t>
      </w:r>
      <w:r>
        <w:rPr>
          <w:rFonts w:hint="eastAsia"/>
        </w:rPr>
        <w:t>原则</w:t>
      </w:r>
      <w:r>
        <w:t>，</w:t>
      </w:r>
      <w:r>
        <w:rPr>
          <w:rFonts w:hint="eastAsia"/>
        </w:rPr>
        <w:t>即</w:t>
      </w:r>
      <w:r>
        <w:t>减量化、再利用和再循环</w:t>
      </w:r>
      <w:r>
        <w:rPr>
          <w:rFonts w:hint="eastAsia"/>
        </w:rPr>
        <w:t>。减量化</w:t>
      </w:r>
      <w:r>
        <w:t>，在产品输入端就充分考虑节省投资、提高单位产品对资源的利用率</w:t>
      </w:r>
      <w:r>
        <w:rPr>
          <w:rFonts w:hint="eastAsia"/>
        </w:rPr>
        <w:t>、</w:t>
      </w:r>
      <w:r>
        <w:t>预防和减少废物的产生，</w:t>
      </w:r>
      <w:r>
        <w:rPr>
          <w:rFonts w:hint="eastAsia"/>
        </w:rPr>
        <w:t>减量化</w:t>
      </w:r>
      <w:r>
        <w:t>以技术进步带动，</w:t>
      </w:r>
      <w:r>
        <w:rPr>
          <w:rFonts w:hint="eastAsia"/>
        </w:rPr>
        <w:t>节约</w:t>
      </w:r>
      <w:r>
        <w:t>单位产品耗能，</w:t>
      </w:r>
      <w:r>
        <w:rPr>
          <w:rFonts w:hint="eastAsia"/>
        </w:rPr>
        <w:t>减少</w:t>
      </w:r>
      <w:r>
        <w:t>大气污染、水污染和土壤污染等；</w:t>
      </w:r>
      <w:r>
        <w:rPr>
          <w:rFonts w:hint="eastAsia"/>
        </w:rPr>
        <w:t>再利用</w:t>
      </w:r>
      <w:r>
        <w:t>重点在产业链</w:t>
      </w:r>
      <w:r>
        <w:rPr>
          <w:rFonts w:hint="eastAsia"/>
        </w:rPr>
        <w:t>选择</w:t>
      </w:r>
      <w:r>
        <w:t>和配置上，</w:t>
      </w:r>
      <w:r>
        <w:rPr>
          <w:rFonts w:hint="eastAsia"/>
        </w:rPr>
        <w:t>提倡</w:t>
      </w:r>
      <w:r>
        <w:t>园区</w:t>
      </w:r>
      <w:r>
        <w:rPr>
          <w:rFonts w:hint="eastAsia"/>
        </w:rPr>
        <w:t>化</w:t>
      </w:r>
      <w:r>
        <w:t>、规模化和链条化，</w:t>
      </w:r>
      <w:r>
        <w:rPr>
          <w:rFonts w:hint="eastAsia"/>
        </w:rPr>
        <w:t>鼓励</w:t>
      </w:r>
      <w:r>
        <w:t>深加工和</w:t>
      </w:r>
      <w:r>
        <w:rPr>
          <w:rFonts w:hint="eastAsia"/>
        </w:rPr>
        <w:t>多产</w:t>
      </w:r>
      <w:r>
        <w:t>融合，</w:t>
      </w:r>
      <w:r>
        <w:rPr>
          <w:rFonts w:hint="eastAsia"/>
        </w:rPr>
        <w:t>形成</w:t>
      </w:r>
      <w:r>
        <w:t>能源的梯级利用</w:t>
      </w:r>
      <w:r>
        <w:rPr>
          <w:rFonts w:hint="eastAsia"/>
        </w:rPr>
        <w:t>；</w:t>
      </w:r>
      <w:r>
        <w:t>最后，做好废物处理和再利用，</w:t>
      </w:r>
      <w:r>
        <w:rPr>
          <w:rFonts w:hint="eastAsia"/>
        </w:rPr>
        <w:t>将</w:t>
      </w:r>
      <w:r>
        <w:t>废物资源进行原级再循环或者转化成其他产品的原料</w:t>
      </w:r>
      <w:r>
        <w:rPr>
          <w:rFonts w:hint="eastAsia"/>
        </w:rPr>
        <w:t>。</w:t>
      </w:r>
    </w:p>
    <w:p>
      <w:pPr>
        <w:pStyle w:val="128"/>
      </w:pPr>
      <w:r>
        <w:rPr>
          <w:rFonts w:hint="eastAsia"/>
        </w:rPr>
        <w:t>循环</w:t>
      </w:r>
      <w:r>
        <w:t>经济着眼于经济，以协调人</w:t>
      </w:r>
      <w:r>
        <w:rPr>
          <w:rFonts w:hint="eastAsia"/>
        </w:rPr>
        <w:t>与</w:t>
      </w:r>
      <w:r>
        <w:t>自然关系为准则，</w:t>
      </w:r>
      <w:r>
        <w:rPr>
          <w:rFonts w:hint="eastAsia"/>
        </w:rPr>
        <w:t>在</w:t>
      </w:r>
      <w:r>
        <w:t>一定条件下将物质、能量、时间、空间、资金等</w:t>
      </w:r>
      <w:r>
        <w:rPr>
          <w:rFonts w:hint="eastAsia"/>
        </w:rPr>
        <w:t>要素</w:t>
      </w:r>
      <w:r>
        <w:t>有效整合，模拟自然生态系统运行方式和规律，推进整个社会走上生产发展、生活富裕、生态良好的文明</w:t>
      </w:r>
      <w:r>
        <w:rPr>
          <w:rFonts w:hint="eastAsia"/>
        </w:rPr>
        <w:t>发展道路</w:t>
      </w:r>
      <w:r>
        <w:t>。</w:t>
      </w:r>
    </w:p>
    <w:p>
      <w:pPr>
        <w:pStyle w:val="129"/>
      </w:pPr>
      <w:r>
        <w:drawing>
          <wp:inline distT="0" distB="0" distL="0" distR="0">
            <wp:extent cx="1598295" cy="1619885"/>
            <wp:effectExtent l="0" t="0" r="1905" b="0"/>
            <wp:docPr id="26" name="图片 26" descr="C:\Users\12017\AppData\Roaming\Tencent\Users\497121372\QQ\WinTemp\RichOle\H{XR1EW%Q{EON)259CPET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12017\AppData\Roaming\Tencent\Users\497121372\QQ\WinTemp\RichOle\H{XR1EW%Q{EON)259CPET58.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1598754" cy="1620000"/>
                    </a:xfrm>
                    <a:prstGeom prst="rect">
                      <a:avLst/>
                    </a:prstGeom>
                    <a:noFill/>
                    <a:ln>
                      <a:noFill/>
                    </a:ln>
                  </pic:spPr>
                </pic:pic>
              </a:graphicData>
            </a:graphic>
          </wp:inline>
        </w:drawing>
      </w:r>
      <w:r>
        <w:drawing>
          <wp:inline distT="0" distB="0" distL="0" distR="0">
            <wp:extent cx="2740025" cy="1619885"/>
            <wp:effectExtent l="0" t="0" r="3175" b="0"/>
            <wp:docPr id="27" name="图片 27" descr="http://www.hometex.org.cn/zjfzx/zjf_xhzx/201502/W020150216331458365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http://www.hometex.org.cn/zjfzx/zjf_xhzx/201502/W020150216331458365147.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2740469" cy="1620000"/>
                    </a:xfrm>
                    <a:prstGeom prst="rect">
                      <a:avLst/>
                    </a:prstGeom>
                    <a:noFill/>
                    <a:ln>
                      <a:noFill/>
                    </a:ln>
                  </pic:spPr>
                </pic:pic>
              </a:graphicData>
            </a:graphic>
          </wp:inline>
        </w:drawing>
      </w:r>
    </w:p>
    <w:p>
      <w:pPr>
        <w:pStyle w:val="137"/>
        <w:numPr>
          <w:ilvl w:val="0"/>
          <w:numId w:val="12"/>
        </w:numPr>
      </w:pPr>
      <w:r>
        <w:rPr>
          <w:rFonts w:hint="eastAsia"/>
        </w:rPr>
        <w:t>循环经济</w:t>
      </w:r>
    </w:p>
    <w:p>
      <w:pPr>
        <w:pStyle w:val="128"/>
      </w:pPr>
      <w:r>
        <w:rPr>
          <w:rFonts w:hint="eastAsia"/>
        </w:rPr>
        <w:t>渭南在</w:t>
      </w:r>
      <w:r>
        <w:t>未来的产业发展</w:t>
      </w:r>
      <w:r>
        <w:rPr>
          <w:rFonts w:hint="eastAsia"/>
        </w:rPr>
        <w:t>中，要发展高技术含量、高质量、高效益、低物耗、低能耗、低水耗、低污染的集约型工业，做大做强有资源优势的支柱产业，发展深加工，延长产业链，提高附加值，努力提高发展的质量和效益。以“绿色发展”</w:t>
      </w:r>
      <w:r>
        <w:t>理念</w:t>
      </w:r>
      <w:r>
        <w:rPr>
          <w:rFonts w:hint="eastAsia"/>
        </w:rPr>
        <w:t>为指导，在现有的科技园区、工业园区和大型企业推进生态工业园区建设。</w:t>
      </w:r>
    </w:p>
    <w:p>
      <w:pPr>
        <w:pStyle w:val="128"/>
      </w:pPr>
    </w:p>
    <w:p>
      <w:pPr>
        <w:pStyle w:val="128"/>
        <w:sectPr>
          <w:pgSz w:w="11906" w:h="16838"/>
          <w:pgMar w:top="1440" w:right="1588" w:bottom="1440" w:left="1588" w:header="851" w:footer="992" w:gutter="0"/>
          <w:pgNumType w:fmt="decimal"/>
          <w:cols w:space="720" w:num="1"/>
          <w:docGrid w:linePitch="312" w:charSpace="0"/>
        </w:sectPr>
      </w:pPr>
    </w:p>
    <w:p>
      <w:pPr>
        <w:pStyle w:val="123"/>
        <w:rPr>
          <w:color w:val="auto"/>
        </w:rPr>
      </w:pPr>
      <w:bookmarkStart w:id="43" w:name="_Toc9092"/>
      <w:r>
        <w:rPr>
          <w:rFonts w:hint="eastAsia"/>
          <w:color w:val="auto"/>
        </w:rPr>
        <w:t>新能源产业集群规划</w:t>
      </w:r>
      <w:bookmarkEnd w:id="43"/>
    </w:p>
    <w:p>
      <w:pPr>
        <w:pStyle w:val="125"/>
      </w:pPr>
      <w:bookmarkStart w:id="44" w:name="_Toc13632"/>
      <w:r>
        <w:rPr>
          <w:rFonts w:hint="eastAsia"/>
        </w:rPr>
        <w:t>发展原则</w:t>
      </w:r>
      <w:bookmarkEnd w:id="44"/>
    </w:p>
    <w:p>
      <w:pPr>
        <w:pStyle w:val="128"/>
      </w:pPr>
      <w:r>
        <w:rPr>
          <w:rFonts w:hint="eastAsia"/>
        </w:rPr>
        <w:t>（1）坚持统一规划，整体推动风、光电、生物质、地热能</w:t>
      </w:r>
      <w:r>
        <w:rPr>
          <w:rFonts w:hint="eastAsia"/>
          <w:lang w:eastAsia="zh-CN"/>
        </w:rPr>
        <w:t>统筹</w:t>
      </w:r>
      <w:r>
        <w:rPr>
          <w:rFonts w:hint="eastAsia"/>
        </w:rPr>
        <w:t>开发。</w:t>
      </w:r>
    </w:p>
    <w:p>
      <w:pPr>
        <w:pStyle w:val="128"/>
      </w:pPr>
      <w:r>
        <w:rPr>
          <w:rFonts w:hint="eastAsia"/>
        </w:rPr>
        <w:t>继续实施项目带动战略，坚持“以规划定项目、以项目促规划”，加大项目策划力度，加强项目研究工作，提高项目实施可行性和运行效率，努力扩展项目效益空间。</w:t>
      </w:r>
    </w:p>
    <w:p>
      <w:pPr>
        <w:pStyle w:val="128"/>
      </w:pPr>
      <w:r>
        <w:rPr>
          <w:rFonts w:hint="eastAsia"/>
        </w:rPr>
        <w:t>（2）推进新能源示范城市建设。</w:t>
      </w:r>
    </w:p>
    <w:p>
      <w:pPr>
        <w:pStyle w:val="128"/>
      </w:pPr>
      <w:r>
        <w:rPr>
          <w:rFonts w:hint="eastAsia"/>
        </w:rPr>
        <w:t>渭南市应充分利用当地丰富的太阳能、风能、地热能、生物质能等可再生能源，使可再生能源在能源消费中达到较高比例或较大利用规模，积极探索各类新能源技术在城市供电、供热、供暖和建筑节能中的应用，减少城市发展对化石能源的依赖，提高新能源利用在城市能源消费中的比重，增强城市可持续发展能力。鼓励专业化投资、经营企业参与城市新能源建设，鼓励同类项目由同一项目法人投资建设和运营管理，形成城市新能源利用的规模效益。</w:t>
      </w:r>
    </w:p>
    <w:p>
      <w:pPr>
        <w:pStyle w:val="128"/>
      </w:pPr>
      <w:r>
        <w:rPr>
          <w:rFonts w:hint="eastAsia"/>
        </w:rPr>
        <w:t>按照“试点先行、结果可控、及时总结、逐步推广”的原则，鼓励新能源替代传统能源供应，开展大型电采暖替代燃煤锅炉、大型蓄热、集中供热站示范工程，在新建建筑要优先使用新能源清洁供暖技术。先启动个别县（区、市）新能源清洁供暖试点示范工程，探索可持续的运行模式，逐步在其他具备条件的县（区、市）推广。</w:t>
      </w:r>
    </w:p>
    <w:p>
      <w:pPr>
        <w:pStyle w:val="128"/>
      </w:pPr>
      <w:r>
        <w:rPr>
          <w:rFonts w:hint="eastAsia"/>
        </w:rPr>
        <w:t>积极倡导绿色出行方式，加快以纯电动汽车为主的新能源汽车推广应用，适度超前布局建设电动汽车充电基础设施，到2020年，初步建成布局合理、高效开放的充电服务体系。</w:t>
      </w:r>
    </w:p>
    <w:p>
      <w:pPr>
        <w:pStyle w:val="128"/>
      </w:pPr>
      <w:r>
        <w:rPr>
          <w:rFonts w:hint="eastAsia"/>
        </w:rPr>
        <w:t>（3）因地制宜开展绿色能源示范县建设。</w:t>
      </w:r>
    </w:p>
    <w:p>
      <w:pPr>
        <w:pStyle w:val="128"/>
      </w:pPr>
      <w:r>
        <w:rPr>
          <w:rFonts w:hint="eastAsia"/>
        </w:rPr>
        <w:t>深入推进潼关、富平、合阳、大荔县等绿色能源示范县建设。积极构建以风电、太阳能为主体，生物质能、地热能和小水电等多种可再生能源技术相互融合的清洁用能体系，充分利用沼气大力发展生物质联产综合利用项目。</w:t>
      </w:r>
    </w:p>
    <w:p>
      <w:pPr>
        <w:pStyle w:val="128"/>
      </w:pPr>
      <w:r>
        <w:rPr>
          <w:rFonts w:hint="eastAsia"/>
        </w:rPr>
        <w:t>遵循“因地制宜、自成一体、经济合理”的原则，基于局部配电网，利用分布式风电、光伏电站，在用户侧搭载技术经济合理的储能设施并应用能量管理系统，指导用户避开用电高峰，优先使用本地可再生能源或大电网低谷电力，建设可通过能量存储和优化配置实现本地能源生产与用能负荷基本平衡的新能源微电网。</w:t>
      </w:r>
    </w:p>
    <w:p>
      <w:pPr>
        <w:pStyle w:val="128"/>
      </w:pPr>
      <w:r>
        <w:rPr>
          <w:rFonts w:hint="eastAsia"/>
        </w:rPr>
        <w:t>（4）开展渭南市新能源综合示范区建设。</w:t>
      </w:r>
    </w:p>
    <w:p>
      <w:pPr>
        <w:pStyle w:val="128"/>
      </w:pPr>
      <w:r>
        <w:rPr>
          <w:rFonts w:hint="eastAsia"/>
        </w:rPr>
        <w:t>实现新能源与传统能源协调发展、电源与电网共同发展，调峰问题有效解决，就地消纳显著增强的发展目标。使新能源发电成为电力供应体系的重要支撑。</w:t>
      </w:r>
    </w:p>
    <w:p>
      <w:pPr>
        <w:pStyle w:val="128"/>
      </w:pPr>
      <w:r>
        <w:rPr>
          <w:rFonts w:hint="eastAsia"/>
        </w:rPr>
        <w:t>加快发展技术成熟、市场竞争力强的风电、太阳能光伏和热利用、页岩气、生物质发电、地热和地温能、沼气等新能源，积极推进技术基本成熟、开发潜力大的新型太阳能光伏发电、生物质气化、生物燃料能等可再生能源技术的产业化，实施新能源集成利用示范重大工程。</w:t>
      </w:r>
    </w:p>
    <w:p>
      <w:pPr>
        <w:pStyle w:val="125"/>
      </w:pPr>
      <w:bookmarkStart w:id="45" w:name="_Toc293"/>
      <w:r>
        <w:rPr>
          <w:rFonts w:hint="eastAsia"/>
        </w:rPr>
        <w:t>太阳能综合应用</w:t>
      </w:r>
      <w:bookmarkEnd w:id="45"/>
    </w:p>
    <w:p>
      <w:pPr>
        <w:pStyle w:val="126"/>
      </w:pPr>
      <w:r>
        <w:rPr>
          <w:rFonts w:hint="eastAsia"/>
        </w:rPr>
        <w:t>太阳能开发</w:t>
      </w:r>
      <w:r>
        <w:t>利用前景</w:t>
      </w:r>
    </w:p>
    <w:p>
      <w:pPr>
        <w:pStyle w:val="128"/>
      </w:pPr>
      <w:r>
        <w:rPr>
          <w:rFonts w:hint="eastAsia"/>
        </w:rPr>
        <w:t>（1）资源储量丰富</w:t>
      </w:r>
    </w:p>
    <w:p>
      <w:pPr>
        <w:pStyle w:val="128"/>
      </w:pPr>
      <w:r>
        <w:rPr>
          <w:rFonts w:hint="eastAsia"/>
        </w:rPr>
        <w:t>我国幅员广阔，有着十分丰富的太阳能资源，</w:t>
      </w:r>
      <w:r>
        <w:t>理论储量达每年17000亿吨标准煤。根据气象部门的调查、测算：我国太阳能年总辐射量最大值在青藏高原，高达</w:t>
      </w:r>
      <w:r>
        <w:rPr>
          <w:rFonts w:hint="eastAsia"/>
        </w:rPr>
        <w:t>90</w:t>
      </w:r>
      <w:r>
        <w:t>00MJ/m</w:t>
      </w:r>
      <w:r>
        <w:rPr>
          <w:vertAlign w:val="superscript"/>
        </w:rPr>
        <w:t>2</w:t>
      </w:r>
      <w:r>
        <w:t>，最小值在四川盆地，仅3300MJ/m</w:t>
      </w:r>
      <w:r>
        <w:rPr>
          <w:vertAlign w:val="superscript"/>
        </w:rPr>
        <w:t>2</w:t>
      </w:r>
      <w:r>
        <w:rPr>
          <w:rFonts w:hint="eastAsia"/>
        </w:rPr>
        <w:t>,</w:t>
      </w:r>
      <w:r>
        <w:t>从大兴安岭南麓向西南穿过河套，向南沿青藏高原东侧直至西藏南部，形成一条等值线。此线以西为太阳能丰富地区，年日照时</w:t>
      </w:r>
      <w:r>
        <w:rPr>
          <w:rFonts w:hint="eastAsia"/>
        </w:rPr>
        <w:t>数</w:t>
      </w:r>
      <w:r>
        <w:t>≥3000h，这是这些地区位处内陆，全年气候干旱、云量稀少所致。此线以东地区，既我国东北、华北、长江中下游地区，以四川为最小，由此向南、北增加，广东沿海较大，台湾和海南西部可达2400h/a-2600h/a；内蒙古东部、华北较大，至东北北部又趋减小。</w:t>
      </w:r>
    </w:p>
    <w:p>
      <w:pPr>
        <w:pStyle w:val="128"/>
      </w:pPr>
      <w:r>
        <w:t>太阳能是我国总储量最为丰富的清洁可再生能源，</w:t>
      </w:r>
      <w:r>
        <w:rPr>
          <w:rFonts w:hint="eastAsia"/>
        </w:rPr>
        <w:t>太阳能资源</w:t>
      </w:r>
      <w:r>
        <w:t>丰富区和较丰富区占国土面积2/3以上，</w:t>
      </w:r>
      <w:r>
        <w:rPr>
          <w:rFonts w:hint="eastAsia"/>
        </w:rPr>
        <w:t>是我</w:t>
      </w:r>
      <w:r>
        <w:t>国继水电、风电之后最具规模化、产业化发展潜力的可再生能源。太阳能的开发利用在近几年及今后将受到各界越开越广泛的重视</w:t>
      </w:r>
      <w:r>
        <w:rPr>
          <w:rFonts w:hint="eastAsia"/>
        </w:rPr>
        <w:t>，</w:t>
      </w:r>
      <w:r>
        <w:t>开发、利用前景看好。</w:t>
      </w:r>
    </w:p>
    <w:p>
      <w:pPr>
        <w:pStyle w:val="129"/>
      </w:pPr>
      <w:r>
        <w:drawing>
          <wp:inline distT="0" distB="0" distL="0" distR="0">
            <wp:extent cx="4237990" cy="3564890"/>
            <wp:effectExtent l="0" t="0" r="0" b="0"/>
            <wp:docPr id="24" name="图片 24" descr="6){0R`7DG38A~CZ)9[4@X)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6){0R`7DG38A~CZ)9[4@X)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4242611" cy="3569228"/>
                    </a:xfrm>
                    <a:prstGeom prst="rect">
                      <a:avLst/>
                    </a:prstGeom>
                    <a:noFill/>
                    <a:ln>
                      <a:noFill/>
                    </a:ln>
                  </pic:spPr>
                </pic:pic>
              </a:graphicData>
            </a:graphic>
          </wp:inline>
        </w:drawing>
      </w:r>
    </w:p>
    <w:p>
      <w:pPr>
        <w:pStyle w:val="137"/>
      </w:pPr>
      <w:r>
        <w:t>我国太阳能资源分布图（单位：MJ</w:t>
      </w:r>
      <w:r>
        <w:rPr>
          <w:rFonts w:hint="eastAsia"/>
        </w:rPr>
        <w:t>·</w:t>
      </w:r>
      <w:r>
        <w:t>m</w:t>
      </w:r>
      <w:r>
        <w:rPr>
          <w:vertAlign w:val="superscript"/>
        </w:rPr>
        <w:t>-2</w:t>
      </w:r>
      <w:r>
        <w:rPr>
          <w:rFonts w:hint="eastAsia"/>
        </w:rPr>
        <w:t>·</w:t>
      </w:r>
      <w:r>
        <w:t>a</w:t>
      </w:r>
      <w:r>
        <w:rPr>
          <w:vertAlign w:val="superscript"/>
        </w:rPr>
        <w:t>-1</w:t>
      </w:r>
      <w:r>
        <w:t>）</w:t>
      </w:r>
    </w:p>
    <w:p>
      <w:pPr>
        <w:pStyle w:val="128"/>
      </w:pPr>
      <w:r>
        <w:rPr>
          <w:rFonts w:hint="eastAsia"/>
        </w:rPr>
        <w:t>（2）产业</w:t>
      </w:r>
      <w:r>
        <w:t>发展迅速</w:t>
      </w:r>
    </w:p>
    <w:p>
      <w:pPr>
        <w:pStyle w:val="128"/>
      </w:pPr>
      <w:r>
        <w:rPr>
          <w:rFonts w:hint="eastAsia"/>
        </w:rPr>
        <w:t>截至2015年底，我国光伏发电累计装机容量4318万千瓦，成为全球光伏发电装机容量最大的国家。其中，光伏电站3712万千瓦，分布式606万千瓦，年发电量392亿千瓦时。2015年新增装机容量1513万千瓦，完成了2015年度新增并网装机1500万千瓦的目标，占全球新增装机的四分之一以上，占我国光伏电池组件年产量的三分之一，为我国光伏制造业提供了有效的市场支撑。全国大多数地区光伏发电运行情况良好，全国全年平均利用小时数为1133小时，西北部分地区出现了较为严重的弃光现象，甘肃全年平均利用小时数为1061小时，弃光率达31%；新疆自治区全年平均利用小时数为1042小时，弃光率达26%。</w:t>
      </w:r>
    </w:p>
    <w:p>
      <w:pPr>
        <w:pStyle w:val="128"/>
      </w:pPr>
      <w:r>
        <w:rPr>
          <w:rFonts w:hint="eastAsia"/>
        </w:rPr>
        <w:t>目前光伏发电已经呈现从</w:t>
      </w:r>
      <w:r>
        <w:t>西北向中东部转移的</w:t>
      </w:r>
      <w:r>
        <w:rPr>
          <w:rFonts w:hint="eastAsia"/>
        </w:rPr>
        <w:t>趋势</w:t>
      </w:r>
      <w:r>
        <w:t>，形成</w:t>
      </w:r>
      <w:r>
        <w:rPr>
          <w:rFonts w:hint="eastAsia"/>
        </w:rPr>
        <w:t>东中西部共同发展格局。中东部地区有6个省累计装机容量超过100万千瓦，分别是江苏（422万千瓦）、河北（239万千瓦）、浙江（164万千瓦）、山东（133万千瓦）、安徽（121万千瓦）和山西（113万千瓦）。新疆（含兵团）、内蒙古和江苏居新增装机前三位，分别为210万千瓦、187万千瓦和165万千瓦。分布式光伏发电装机容量较大的地区有浙江（121万千瓦）、江苏（119万千瓦）和广东（57万千瓦）。</w:t>
      </w:r>
    </w:p>
    <w:p>
      <w:pPr>
        <w:pStyle w:val="128"/>
      </w:pPr>
      <w:r>
        <w:rPr>
          <w:rFonts w:hint="eastAsia"/>
        </w:rPr>
        <w:t>（3）陕西省</w:t>
      </w:r>
      <w:r>
        <w:t>开发利用情况</w:t>
      </w:r>
    </w:p>
    <w:p>
      <w:pPr>
        <w:pStyle w:val="128"/>
      </w:pPr>
      <w:r>
        <w:rPr>
          <w:rFonts w:hint="eastAsia"/>
        </w:rPr>
        <w:t>至目前，陕西省并网光伏项目建成容量520MW（13个项目）、分布式光伏项目建成容量30MW，核准、在建并网光伏项目容量1750MW（21个项目），开展前期工作的并网光伏项目容量7234.5MW（96个项目），合计9504.5MW（130个项目）。</w:t>
      </w:r>
    </w:p>
    <w:p>
      <w:pPr>
        <w:pStyle w:val="132"/>
        <w:numPr>
          <w:ilvl w:val="0"/>
          <w:numId w:val="13"/>
        </w:numPr>
      </w:pPr>
      <w:r>
        <w:rPr>
          <w:rFonts w:hint="eastAsia"/>
        </w:rPr>
        <w:t>陕西省并网光伏项目建设现状统计汇总表（</w:t>
      </w:r>
      <w:r>
        <w:t>MW</w:t>
      </w:r>
      <w:r>
        <w:rPr>
          <w:rFonts w:hint="eastAsia"/>
        </w:rPr>
        <w:t>）</w:t>
      </w:r>
    </w:p>
    <w:tbl>
      <w:tblPr>
        <w:tblStyle w:val="45"/>
        <w:tblW w:w="8286" w:type="dxa"/>
        <w:jc w:val="center"/>
        <w:tblInd w:w="0" w:type="dxa"/>
        <w:tblLayout w:type="fixed"/>
        <w:tblCellMar>
          <w:top w:w="0" w:type="dxa"/>
          <w:left w:w="108" w:type="dxa"/>
          <w:bottom w:w="0" w:type="dxa"/>
          <w:right w:w="108" w:type="dxa"/>
        </w:tblCellMar>
      </w:tblPr>
      <w:tblGrid>
        <w:gridCol w:w="899"/>
        <w:gridCol w:w="1336"/>
        <w:gridCol w:w="1134"/>
        <w:gridCol w:w="1845"/>
        <w:gridCol w:w="1983"/>
        <w:gridCol w:w="1089"/>
      </w:tblGrid>
      <w:tr>
        <w:tblPrEx>
          <w:tblLayout w:type="fixed"/>
          <w:tblCellMar>
            <w:top w:w="0" w:type="dxa"/>
            <w:left w:w="108" w:type="dxa"/>
            <w:bottom w:w="0" w:type="dxa"/>
            <w:right w:w="108" w:type="dxa"/>
          </w:tblCellMar>
        </w:tblPrEx>
        <w:trPr>
          <w:trHeight w:val="454" w:hRule="atLeast"/>
          <w:jc w:val="center"/>
        </w:trPr>
        <w:tc>
          <w:tcPr>
            <w:tcW w:w="89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6"/>
            </w:pPr>
            <w:r>
              <w:rPr>
                <w:rFonts w:hint="eastAsia"/>
              </w:rPr>
              <w:t>序号</w:t>
            </w:r>
          </w:p>
        </w:tc>
        <w:tc>
          <w:tcPr>
            <w:tcW w:w="1336" w:type="dxa"/>
            <w:tcBorders>
              <w:top w:val="single" w:color="auto" w:sz="4" w:space="0"/>
              <w:left w:val="nil"/>
              <w:bottom w:val="single" w:color="auto" w:sz="4" w:space="0"/>
              <w:right w:val="single" w:color="auto" w:sz="4" w:space="0"/>
            </w:tcBorders>
            <w:shd w:val="clear" w:color="auto" w:fill="auto"/>
            <w:vAlign w:val="center"/>
          </w:tcPr>
          <w:p>
            <w:pPr>
              <w:pStyle w:val="36"/>
            </w:pPr>
            <w:r>
              <w:rPr>
                <w:rFonts w:hint="eastAsia"/>
              </w:rPr>
              <w:t>区域</w:t>
            </w:r>
          </w:p>
        </w:tc>
        <w:tc>
          <w:tcPr>
            <w:tcW w:w="1134" w:type="dxa"/>
            <w:tcBorders>
              <w:top w:val="single" w:color="auto" w:sz="4" w:space="0"/>
              <w:left w:val="nil"/>
              <w:bottom w:val="single" w:color="auto" w:sz="4" w:space="0"/>
              <w:right w:val="single" w:color="auto" w:sz="4" w:space="0"/>
            </w:tcBorders>
            <w:shd w:val="clear" w:color="auto" w:fill="auto"/>
            <w:vAlign w:val="center"/>
          </w:tcPr>
          <w:p>
            <w:pPr>
              <w:pStyle w:val="36"/>
            </w:pPr>
            <w:r>
              <w:rPr>
                <w:rFonts w:hint="eastAsia"/>
              </w:rPr>
              <w:t>建成项目</w:t>
            </w:r>
          </w:p>
        </w:tc>
        <w:tc>
          <w:tcPr>
            <w:tcW w:w="1845" w:type="dxa"/>
            <w:tcBorders>
              <w:top w:val="single" w:color="auto" w:sz="4" w:space="0"/>
              <w:left w:val="nil"/>
              <w:bottom w:val="single" w:color="auto" w:sz="4" w:space="0"/>
              <w:right w:val="single" w:color="auto" w:sz="4" w:space="0"/>
            </w:tcBorders>
            <w:shd w:val="clear" w:color="auto" w:fill="auto"/>
            <w:vAlign w:val="center"/>
          </w:tcPr>
          <w:p>
            <w:pPr>
              <w:pStyle w:val="36"/>
            </w:pPr>
            <w:r>
              <w:rPr>
                <w:rFonts w:hint="eastAsia"/>
              </w:rPr>
              <w:t>核准、在建项目</w:t>
            </w:r>
          </w:p>
        </w:tc>
        <w:tc>
          <w:tcPr>
            <w:tcW w:w="1983" w:type="dxa"/>
            <w:tcBorders>
              <w:top w:val="single" w:color="auto" w:sz="4" w:space="0"/>
              <w:left w:val="nil"/>
              <w:bottom w:val="single" w:color="auto" w:sz="4" w:space="0"/>
              <w:right w:val="single" w:color="auto" w:sz="4" w:space="0"/>
            </w:tcBorders>
            <w:shd w:val="clear" w:color="auto" w:fill="auto"/>
            <w:vAlign w:val="center"/>
          </w:tcPr>
          <w:p>
            <w:pPr>
              <w:pStyle w:val="36"/>
            </w:pPr>
            <w:r>
              <w:rPr>
                <w:rFonts w:hint="eastAsia"/>
              </w:rPr>
              <w:t>开展前期工作项目</w:t>
            </w:r>
          </w:p>
        </w:tc>
        <w:tc>
          <w:tcPr>
            <w:tcW w:w="1089" w:type="dxa"/>
            <w:tcBorders>
              <w:top w:val="single" w:color="auto" w:sz="4" w:space="0"/>
              <w:left w:val="nil"/>
              <w:bottom w:val="single" w:color="auto" w:sz="4" w:space="0"/>
              <w:right w:val="single" w:color="auto" w:sz="4" w:space="0"/>
            </w:tcBorders>
            <w:shd w:val="clear" w:color="auto" w:fill="auto"/>
            <w:vAlign w:val="center"/>
          </w:tcPr>
          <w:p>
            <w:pPr>
              <w:pStyle w:val="36"/>
            </w:pPr>
            <w:r>
              <w:rPr>
                <w:rFonts w:hint="eastAsia"/>
              </w:rPr>
              <w:t>合计</w:t>
            </w:r>
          </w:p>
        </w:tc>
      </w:tr>
      <w:tr>
        <w:tblPrEx>
          <w:tblLayout w:type="fixed"/>
          <w:tblCellMar>
            <w:top w:w="0" w:type="dxa"/>
            <w:left w:w="108" w:type="dxa"/>
            <w:bottom w:w="0" w:type="dxa"/>
            <w:right w:w="108" w:type="dxa"/>
          </w:tblCellMar>
        </w:tblPrEx>
        <w:trPr>
          <w:trHeight w:val="454" w:hRule="atLeast"/>
          <w:jc w:val="center"/>
        </w:trPr>
        <w:tc>
          <w:tcPr>
            <w:tcW w:w="899" w:type="dxa"/>
            <w:tcBorders>
              <w:top w:val="nil"/>
              <w:left w:val="single" w:color="auto" w:sz="4" w:space="0"/>
              <w:bottom w:val="single" w:color="auto" w:sz="4" w:space="0"/>
              <w:right w:val="single" w:color="auto" w:sz="4" w:space="0"/>
            </w:tcBorders>
            <w:shd w:val="clear" w:color="auto" w:fill="auto"/>
            <w:vAlign w:val="center"/>
          </w:tcPr>
          <w:p>
            <w:pPr>
              <w:pStyle w:val="36"/>
            </w:pPr>
            <w:r>
              <w:rPr>
                <w:rFonts w:hint="eastAsia"/>
              </w:rPr>
              <w:t>一</w:t>
            </w:r>
          </w:p>
        </w:tc>
        <w:tc>
          <w:tcPr>
            <w:tcW w:w="1336" w:type="dxa"/>
            <w:tcBorders>
              <w:top w:val="nil"/>
              <w:left w:val="nil"/>
              <w:bottom w:val="single" w:color="auto" w:sz="4" w:space="0"/>
              <w:right w:val="single" w:color="auto" w:sz="4" w:space="0"/>
            </w:tcBorders>
            <w:shd w:val="clear" w:color="auto" w:fill="auto"/>
            <w:vAlign w:val="center"/>
          </w:tcPr>
          <w:p>
            <w:pPr>
              <w:pStyle w:val="36"/>
            </w:pPr>
            <w:r>
              <w:rPr>
                <w:rFonts w:hint="eastAsia"/>
              </w:rPr>
              <w:t>陕北地区</w:t>
            </w:r>
          </w:p>
        </w:tc>
        <w:tc>
          <w:tcPr>
            <w:tcW w:w="1134" w:type="dxa"/>
            <w:tcBorders>
              <w:top w:val="nil"/>
              <w:left w:val="nil"/>
              <w:bottom w:val="single" w:color="auto" w:sz="4" w:space="0"/>
              <w:right w:val="single" w:color="auto" w:sz="4" w:space="0"/>
            </w:tcBorders>
            <w:shd w:val="clear" w:color="auto" w:fill="auto"/>
            <w:vAlign w:val="center"/>
          </w:tcPr>
          <w:p>
            <w:pPr>
              <w:pStyle w:val="36"/>
            </w:pPr>
            <w:r>
              <w:t>　</w:t>
            </w:r>
          </w:p>
        </w:tc>
        <w:tc>
          <w:tcPr>
            <w:tcW w:w="1845" w:type="dxa"/>
            <w:tcBorders>
              <w:top w:val="nil"/>
              <w:left w:val="nil"/>
              <w:bottom w:val="single" w:color="auto" w:sz="4" w:space="0"/>
              <w:right w:val="single" w:color="auto" w:sz="4" w:space="0"/>
            </w:tcBorders>
            <w:shd w:val="clear" w:color="auto" w:fill="auto"/>
            <w:vAlign w:val="center"/>
          </w:tcPr>
          <w:p>
            <w:pPr>
              <w:pStyle w:val="36"/>
            </w:pPr>
            <w:r>
              <w:t>　</w:t>
            </w:r>
          </w:p>
        </w:tc>
        <w:tc>
          <w:tcPr>
            <w:tcW w:w="1983" w:type="dxa"/>
            <w:tcBorders>
              <w:top w:val="nil"/>
              <w:left w:val="nil"/>
              <w:bottom w:val="single" w:color="auto" w:sz="4" w:space="0"/>
              <w:right w:val="single" w:color="auto" w:sz="4" w:space="0"/>
            </w:tcBorders>
            <w:shd w:val="clear" w:color="auto" w:fill="auto"/>
            <w:vAlign w:val="center"/>
          </w:tcPr>
          <w:p>
            <w:pPr>
              <w:pStyle w:val="36"/>
            </w:pPr>
            <w:r>
              <w:t>　</w:t>
            </w:r>
          </w:p>
        </w:tc>
        <w:tc>
          <w:tcPr>
            <w:tcW w:w="1089" w:type="dxa"/>
            <w:tcBorders>
              <w:top w:val="nil"/>
              <w:left w:val="nil"/>
              <w:bottom w:val="single" w:color="auto" w:sz="4" w:space="0"/>
              <w:right w:val="single" w:color="auto" w:sz="4" w:space="0"/>
            </w:tcBorders>
            <w:shd w:val="clear" w:color="auto" w:fill="auto"/>
            <w:vAlign w:val="center"/>
          </w:tcPr>
          <w:p>
            <w:pPr>
              <w:pStyle w:val="36"/>
            </w:pPr>
            <w:r>
              <w:t>　</w:t>
            </w:r>
          </w:p>
        </w:tc>
      </w:tr>
      <w:tr>
        <w:tblPrEx>
          <w:tblLayout w:type="fixed"/>
          <w:tblCellMar>
            <w:top w:w="0" w:type="dxa"/>
            <w:left w:w="108" w:type="dxa"/>
            <w:bottom w:w="0" w:type="dxa"/>
            <w:right w:w="108" w:type="dxa"/>
          </w:tblCellMar>
        </w:tblPrEx>
        <w:trPr>
          <w:trHeight w:val="454" w:hRule="atLeast"/>
          <w:jc w:val="center"/>
        </w:trPr>
        <w:tc>
          <w:tcPr>
            <w:tcW w:w="899" w:type="dxa"/>
            <w:tcBorders>
              <w:top w:val="nil"/>
              <w:left w:val="single" w:color="auto" w:sz="4" w:space="0"/>
              <w:bottom w:val="single" w:color="auto" w:sz="4" w:space="0"/>
              <w:right w:val="single" w:color="auto" w:sz="4" w:space="0"/>
            </w:tcBorders>
            <w:shd w:val="clear" w:color="auto" w:fill="auto"/>
            <w:vAlign w:val="center"/>
          </w:tcPr>
          <w:p>
            <w:pPr>
              <w:pStyle w:val="36"/>
            </w:pPr>
            <w:r>
              <w:t>1</w:t>
            </w:r>
          </w:p>
        </w:tc>
        <w:tc>
          <w:tcPr>
            <w:tcW w:w="1336" w:type="dxa"/>
            <w:tcBorders>
              <w:top w:val="nil"/>
              <w:left w:val="nil"/>
              <w:bottom w:val="single" w:color="auto" w:sz="4" w:space="0"/>
              <w:right w:val="single" w:color="auto" w:sz="4" w:space="0"/>
            </w:tcBorders>
            <w:shd w:val="clear" w:color="auto" w:fill="auto"/>
            <w:vAlign w:val="center"/>
          </w:tcPr>
          <w:p>
            <w:pPr>
              <w:pStyle w:val="36"/>
            </w:pPr>
            <w:r>
              <w:rPr>
                <w:rFonts w:hint="eastAsia"/>
              </w:rPr>
              <w:t>榆林市</w:t>
            </w:r>
          </w:p>
        </w:tc>
        <w:tc>
          <w:tcPr>
            <w:tcW w:w="1134" w:type="dxa"/>
            <w:tcBorders>
              <w:top w:val="nil"/>
              <w:left w:val="nil"/>
              <w:bottom w:val="single" w:color="auto" w:sz="4" w:space="0"/>
              <w:right w:val="single" w:color="auto" w:sz="4" w:space="0"/>
            </w:tcBorders>
            <w:shd w:val="clear" w:color="000000" w:fill="FFFFFF"/>
            <w:vAlign w:val="center"/>
          </w:tcPr>
          <w:p>
            <w:pPr>
              <w:pStyle w:val="36"/>
            </w:pPr>
            <w:r>
              <w:t>480</w:t>
            </w:r>
          </w:p>
        </w:tc>
        <w:tc>
          <w:tcPr>
            <w:tcW w:w="1845" w:type="dxa"/>
            <w:tcBorders>
              <w:top w:val="nil"/>
              <w:left w:val="nil"/>
              <w:bottom w:val="single" w:color="auto" w:sz="4" w:space="0"/>
              <w:right w:val="single" w:color="auto" w:sz="4" w:space="0"/>
            </w:tcBorders>
            <w:shd w:val="clear" w:color="000000" w:fill="FFFFFF"/>
            <w:vAlign w:val="center"/>
          </w:tcPr>
          <w:p>
            <w:pPr>
              <w:pStyle w:val="36"/>
            </w:pPr>
            <w:r>
              <w:t>1510</w:t>
            </w:r>
          </w:p>
        </w:tc>
        <w:tc>
          <w:tcPr>
            <w:tcW w:w="1983" w:type="dxa"/>
            <w:tcBorders>
              <w:top w:val="nil"/>
              <w:left w:val="nil"/>
              <w:bottom w:val="single" w:color="auto" w:sz="4" w:space="0"/>
              <w:right w:val="single" w:color="auto" w:sz="4" w:space="0"/>
            </w:tcBorders>
            <w:shd w:val="clear" w:color="000000" w:fill="FFFFFF"/>
            <w:vAlign w:val="center"/>
          </w:tcPr>
          <w:p>
            <w:pPr>
              <w:pStyle w:val="36"/>
            </w:pPr>
            <w:r>
              <w:t>4200</w:t>
            </w:r>
          </w:p>
        </w:tc>
        <w:tc>
          <w:tcPr>
            <w:tcW w:w="1089" w:type="dxa"/>
            <w:tcBorders>
              <w:top w:val="nil"/>
              <w:left w:val="nil"/>
              <w:bottom w:val="single" w:color="auto" w:sz="4" w:space="0"/>
              <w:right w:val="single" w:color="auto" w:sz="4" w:space="0"/>
            </w:tcBorders>
            <w:shd w:val="clear" w:color="000000" w:fill="FFFFFF"/>
            <w:vAlign w:val="center"/>
          </w:tcPr>
          <w:p>
            <w:pPr>
              <w:pStyle w:val="36"/>
            </w:pPr>
            <w:r>
              <w:t>6190</w:t>
            </w:r>
          </w:p>
        </w:tc>
      </w:tr>
      <w:tr>
        <w:tblPrEx>
          <w:tblLayout w:type="fixed"/>
          <w:tblCellMar>
            <w:top w:w="0" w:type="dxa"/>
            <w:left w:w="108" w:type="dxa"/>
            <w:bottom w:w="0" w:type="dxa"/>
            <w:right w:w="108" w:type="dxa"/>
          </w:tblCellMar>
        </w:tblPrEx>
        <w:trPr>
          <w:trHeight w:val="454" w:hRule="atLeast"/>
          <w:jc w:val="center"/>
        </w:trPr>
        <w:tc>
          <w:tcPr>
            <w:tcW w:w="899" w:type="dxa"/>
            <w:tcBorders>
              <w:top w:val="nil"/>
              <w:left w:val="single" w:color="auto" w:sz="4" w:space="0"/>
              <w:bottom w:val="single" w:color="auto" w:sz="4" w:space="0"/>
              <w:right w:val="single" w:color="auto" w:sz="4" w:space="0"/>
            </w:tcBorders>
            <w:shd w:val="clear" w:color="auto" w:fill="auto"/>
            <w:vAlign w:val="center"/>
          </w:tcPr>
          <w:p>
            <w:pPr>
              <w:pStyle w:val="36"/>
            </w:pPr>
            <w:r>
              <w:t>2</w:t>
            </w:r>
          </w:p>
        </w:tc>
        <w:tc>
          <w:tcPr>
            <w:tcW w:w="1336" w:type="dxa"/>
            <w:tcBorders>
              <w:top w:val="nil"/>
              <w:left w:val="nil"/>
              <w:bottom w:val="single" w:color="auto" w:sz="4" w:space="0"/>
              <w:right w:val="single" w:color="auto" w:sz="4" w:space="0"/>
            </w:tcBorders>
            <w:shd w:val="clear" w:color="auto" w:fill="auto"/>
            <w:vAlign w:val="center"/>
          </w:tcPr>
          <w:p>
            <w:pPr>
              <w:pStyle w:val="36"/>
            </w:pPr>
            <w:r>
              <w:rPr>
                <w:rFonts w:hint="eastAsia"/>
              </w:rPr>
              <w:t>延安市</w:t>
            </w:r>
          </w:p>
        </w:tc>
        <w:tc>
          <w:tcPr>
            <w:tcW w:w="1134" w:type="dxa"/>
            <w:tcBorders>
              <w:top w:val="nil"/>
              <w:left w:val="nil"/>
              <w:bottom w:val="single" w:color="auto" w:sz="4" w:space="0"/>
              <w:right w:val="single" w:color="auto" w:sz="4" w:space="0"/>
            </w:tcBorders>
            <w:shd w:val="clear" w:color="000000" w:fill="FFFFFF"/>
            <w:vAlign w:val="center"/>
          </w:tcPr>
          <w:p>
            <w:pPr>
              <w:pStyle w:val="36"/>
            </w:pPr>
            <w:r>
              <w:t>10</w:t>
            </w:r>
          </w:p>
        </w:tc>
        <w:tc>
          <w:tcPr>
            <w:tcW w:w="1845" w:type="dxa"/>
            <w:tcBorders>
              <w:top w:val="nil"/>
              <w:left w:val="nil"/>
              <w:bottom w:val="single" w:color="auto" w:sz="4" w:space="0"/>
              <w:right w:val="single" w:color="auto" w:sz="4" w:space="0"/>
            </w:tcBorders>
            <w:shd w:val="clear" w:color="000000" w:fill="FFFFFF"/>
            <w:vAlign w:val="center"/>
          </w:tcPr>
          <w:p>
            <w:pPr>
              <w:pStyle w:val="36"/>
            </w:pPr>
            <w:r>
              <w:t>100</w:t>
            </w:r>
          </w:p>
        </w:tc>
        <w:tc>
          <w:tcPr>
            <w:tcW w:w="1983" w:type="dxa"/>
            <w:tcBorders>
              <w:top w:val="nil"/>
              <w:left w:val="nil"/>
              <w:bottom w:val="single" w:color="auto" w:sz="4" w:space="0"/>
              <w:right w:val="single" w:color="auto" w:sz="4" w:space="0"/>
            </w:tcBorders>
            <w:shd w:val="clear" w:color="000000" w:fill="FFFFFF"/>
            <w:vAlign w:val="center"/>
          </w:tcPr>
          <w:p>
            <w:pPr>
              <w:pStyle w:val="36"/>
            </w:pPr>
            <w:r>
              <w:t>319.5</w:t>
            </w:r>
          </w:p>
        </w:tc>
        <w:tc>
          <w:tcPr>
            <w:tcW w:w="1089" w:type="dxa"/>
            <w:tcBorders>
              <w:top w:val="nil"/>
              <w:left w:val="nil"/>
              <w:bottom w:val="single" w:color="auto" w:sz="4" w:space="0"/>
              <w:right w:val="single" w:color="auto" w:sz="4" w:space="0"/>
            </w:tcBorders>
            <w:shd w:val="clear" w:color="000000" w:fill="FFFFFF"/>
            <w:vAlign w:val="center"/>
          </w:tcPr>
          <w:p>
            <w:pPr>
              <w:pStyle w:val="36"/>
            </w:pPr>
            <w:r>
              <w:t>429.5</w:t>
            </w:r>
          </w:p>
        </w:tc>
      </w:tr>
      <w:tr>
        <w:tblPrEx>
          <w:tblLayout w:type="fixed"/>
          <w:tblCellMar>
            <w:top w:w="0" w:type="dxa"/>
            <w:left w:w="108" w:type="dxa"/>
            <w:bottom w:w="0" w:type="dxa"/>
            <w:right w:w="108" w:type="dxa"/>
          </w:tblCellMar>
        </w:tblPrEx>
        <w:trPr>
          <w:trHeight w:val="454" w:hRule="atLeast"/>
          <w:jc w:val="center"/>
        </w:trPr>
        <w:tc>
          <w:tcPr>
            <w:tcW w:w="899" w:type="dxa"/>
            <w:tcBorders>
              <w:top w:val="nil"/>
              <w:left w:val="single" w:color="auto" w:sz="4" w:space="0"/>
              <w:bottom w:val="single" w:color="auto" w:sz="4" w:space="0"/>
              <w:right w:val="single" w:color="auto" w:sz="4" w:space="0"/>
            </w:tcBorders>
            <w:shd w:val="clear" w:color="auto" w:fill="auto"/>
            <w:vAlign w:val="center"/>
          </w:tcPr>
          <w:p>
            <w:pPr>
              <w:pStyle w:val="36"/>
            </w:pPr>
            <w:r>
              <w:t>3</w:t>
            </w:r>
          </w:p>
        </w:tc>
        <w:tc>
          <w:tcPr>
            <w:tcW w:w="1336" w:type="dxa"/>
            <w:tcBorders>
              <w:top w:val="nil"/>
              <w:left w:val="nil"/>
              <w:bottom w:val="single" w:color="auto" w:sz="4" w:space="0"/>
              <w:right w:val="single" w:color="auto" w:sz="4" w:space="0"/>
            </w:tcBorders>
            <w:shd w:val="clear" w:color="auto" w:fill="auto"/>
            <w:vAlign w:val="center"/>
          </w:tcPr>
          <w:p>
            <w:pPr>
              <w:pStyle w:val="36"/>
            </w:pPr>
            <w:r>
              <w:rPr>
                <w:rFonts w:hint="eastAsia"/>
              </w:rPr>
              <w:t>小计</w:t>
            </w:r>
          </w:p>
        </w:tc>
        <w:tc>
          <w:tcPr>
            <w:tcW w:w="1134" w:type="dxa"/>
            <w:tcBorders>
              <w:top w:val="nil"/>
              <w:left w:val="nil"/>
              <w:bottom w:val="single" w:color="auto" w:sz="4" w:space="0"/>
              <w:right w:val="single" w:color="auto" w:sz="4" w:space="0"/>
            </w:tcBorders>
            <w:shd w:val="clear" w:color="000000" w:fill="FFFFFF"/>
            <w:vAlign w:val="center"/>
          </w:tcPr>
          <w:p>
            <w:pPr>
              <w:pStyle w:val="36"/>
            </w:pPr>
            <w:r>
              <w:t>490</w:t>
            </w:r>
          </w:p>
        </w:tc>
        <w:tc>
          <w:tcPr>
            <w:tcW w:w="1845" w:type="dxa"/>
            <w:tcBorders>
              <w:top w:val="nil"/>
              <w:left w:val="nil"/>
              <w:bottom w:val="single" w:color="auto" w:sz="4" w:space="0"/>
              <w:right w:val="single" w:color="auto" w:sz="4" w:space="0"/>
            </w:tcBorders>
            <w:shd w:val="clear" w:color="000000" w:fill="FFFFFF"/>
            <w:vAlign w:val="center"/>
          </w:tcPr>
          <w:p>
            <w:pPr>
              <w:pStyle w:val="36"/>
            </w:pPr>
            <w:r>
              <w:t>1610</w:t>
            </w:r>
          </w:p>
        </w:tc>
        <w:tc>
          <w:tcPr>
            <w:tcW w:w="1983" w:type="dxa"/>
            <w:tcBorders>
              <w:top w:val="nil"/>
              <w:left w:val="nil"/>
              <w:bottom w:val="single" w:color="auto" w:sz="4" w:space="0"/>
              <w:right w:val="single" w:color="auto" w:sz="4" w:space="0"/>
            </w:tcBorders>
            <w:shd w:val="clear" w:color="000000" w:fill="FFFFFF"/>
            <w:vAlign w:val="center"/>
          </w:tcPr>
          <w:p>
            <w:pPr>
              <w:pStyle w:val="36"/>
            </w:pPr>
            <w:r>
              <w:t>4519.5</w:t>
            </w:r>
          </w:p>
        </w:tc>
        <w:tc>
          <w:tcPr>
            <w:tcW w:w="1089" w:type="dxa"/>
            <w:tcBorders>
              <w:top w:val="nil"/>
              <w:left w:val="nil"/>
              <w:bottom w:val="single" w:color="auto" w:sz="4" w:space="0"/>
              <w:right w:val="single" w:color="auto" w:sz="4" w:space="0"/>
            </w:tcBorders>
            <w:shd w:val="clear" w:color="000000" w:fill="FFFFFF"/>
            <w:vAlign w:val="center"/>
          </w:tcPr>
          <w:p>
            <w:pPr>
              <w:pStyle w:val="36"/>
            </w:pPr>
            <w:r>
              <w:t>6619.5</w:t>
            </w:r>
          </w:p>
        </w:tc>
      </w:tr>
      <w:tr>
        <w:tblPrEx>
          <w:tblLayout w:type="fixed"/>
          <w:tblCellMar>
            <w:top w:w="0" w:type="dxa"/>
            <w:left w:w="108" w:type="dxa"/>
            <w:bottom w:w="0" w:type="dxa"/>
            <w:right w:w="108" w:type="dxa"/>
          </w:tblCellMar>
        </w:tblPrEx>
        <w:trPr>
          <w:trHeight w:val="454" w:hRule="atLeast"/>
          <w:jc w:val="center"/>
        </w:trPr>
        <w:tc>
          <w:tcPr>
            <w:tcW w:w="899" w:type="dxa"/>
            <w:tcBorders>
              <w:top w:val="nil"/>
              <w:left w:val="single" w:color="auto" w:sz="4" w:space="0"/>
              <w:bottom w:val="single" w:color="auto" w:sz="4" w:space="0"/>
              <w:right w:val="single" w:color="auto" w:sz="4" w:space="0"/>
            </w:tcBorders>
            <w:shd w:val="clear" w:color="auto" w:fill="auto"/>
            <w:vAlign w:val="center"/>
          </w:tcPr>
          <w:p>
            <w:pPr>
              <w:pStyle w:val="36"/>
            </w:pPr>
            <w:r>
              <w:rPr>
                <w:rFonts w:hint="eastAsia"/>
              </w:rPr>
              <w:t>二</w:t>
            </w:r>
          </w:p>
        </w:tc>
        <w:tc>
          <w:tcPr>
            <w:tcW w:w="1336" w:type="dxa"/>
            <w:tcBorders>
              <w:top w:val="nil"/>
              <w:left w:val="nil"/>
              <w:bottom w:val="single" w:color="auto" w:sz="4" w:space="0"/>
              <w:right w:val="single" w:color="auto" w:sz="4" w:space="0"/>
            </w:tcBorders>
            <w:shd w:val="clear" w:color="auto" w:fill="auto"/>
            <w:vAlign w:val="center"/>
          </w:tcPr>
          <w:p>
            <w:pPr>
              <w:pStyle w:val="36"/>
            </w:pPr>
            <w:r>
              <w:rPr>
                <w:rFonts w:hint="eastAsia"/>
              </w:rPr>
              <w:t>关中地区</w:t>
            </w:r>
          </w:p>
        </w:tc>
        <w:tc>
          <w:tcPr>
            <w:tcW w:w="1134" w:type="dxa"/>
            <w:tcBorders>
              <w:top w:val="nil"/>
              <w:left w:val="nil"/>
              <w:bottom w:val="single" w:color="auto" w:sz="4" w:space="0"/>
              <w:right w:val="single" w:color="auto" w:sz="4" w:space="0"/>
            </w:tcBorders>
            <w:shd w:val="clear" w:color="000000" w:fill="FFFFFF"/>
            <w:vAlign w:val="center"/>
          </w:tcPr>
          <w:p>
            <w:pPr>
              <w:pStyle w:val="36"/>
            </w:pPr>
            <w:r>
              <w:t>　</w:t>
            </w:r>
          </w:p>
        </w:tc>
        <w:tc>
          <w:tcPr>
            <w:tcW w:w="1845" w:type="dxa"/>
            <w:tcBorders>
              <w:top w:val="nil"/>
              <w:left w:val="nil"/>
              <w:bottom w:val="single" w:color="auto" w:sz="4" w:space="0"/>
              <w:right w:val="single" w:color="auto" w:sz="4" w:space="0"/>
            </w:tcBorders>
            <w:shd w:val="clear" w:color="000000" w:fill="FFFFFF"/>
            <w:vAlign w:val="center"/>
          </w:tcPr>
          <w:p>
            <w:pPr>
              <w:pStyle w:val="36"/>
            </w:pPr>
            <w:r>
              <w:t>　</w:t>
            </w:r>
          </w:p>
        </w:tc>
        <w:tc>
          <w:tcPr>
            <w:tcW w:w="1983" w:type="dxa"/>
            <w:tcBorders>
              <w:top w:val="nil"/>
              <w:left w:val="nil"/>
              <w:bottom w:val="single" w:color="auto" w:sz="4" w:space="0"/>
              <w:right w:val="single" w:color="auto" w:sz="4" w:space="0"/>
            </w:tcBorders>
            <w:shd w:val="clear" w:color="000000" w:fill="FFFFFF"/>
            <w:vAlign w:val="center"/>
          </w:tcPr>
          <w:p>
            <w:pPr>
              <w:pStyle w:val="36"/>
            </w:pPr>
            <w:r>
              <w:t>　</w:t>
            </w:r>
          </w:p>
        </w:tc>
        <w:tc>
          <w:tcPr>
            <w:tcW w:w="1089" w:type="dxa"/>
            <w:tcBorders>
              <w:top w:val="nil"/>
              <w:left w:val="nil"/>
              <w:bottom w:val="single" w:color="auto" w:sz="4" w:space="0"/>
              <w:right w:val="single" w:color="auto" w:sz="4" w:space="0"/>
            </w:tcBorders>
            <w:shd w:val="clear" w:color="000000" w:fill="FFFFFF"/>
            <w:vAlign w:val="center"/>
          </w:tcPr>
          <w:p>
            <w:pPr>
              <w:pStyle w:val="36"/>
            </w:pPr>
            <w:r>
              <w:t>　</w:t>
            </w:r>
          </w:p>
        </w:tc>
      </w:tr>
      <w:tr>
        <w:tblPrEx>
          <w:tblLayout w:type="fixed"/>
          <w:tblCellMar>
            <w:top w:w="0" w:type="dxa"/>
            <w:left w:w="108" w:type="dxa"/>
            <w:bottom w:w="0" w:type="dxa"/>
            <w:right w:w="108" w:type="dxa"/>
          </w:tblCellMar>
        </w:tblPrEx>
        <w:trPr>
          <w:trHeight w:val="454" w:hRule="atLeast"/>
          <w:jc w:val="center"/>
        </w:trPr>
        <w:tc>
          <w:tcPr>
            <w:tcW w:w="899" w:type="dxa"/>
            <w:tcBorders>
              <w:top w:val="nil"/>
              <w:left w:val="single" w:color="auto" w:sz="4" w:space="0"/>
              <w:bottom w:val="single" w:color="auto" w:sz="4" w:space="0"/>
              <w:right w:val="single" w:color="auto" w:sz="4" w:space="0"/>
            </w:tcBorders>
            <w:shd w:val="clear" w:color="auto" w:fill="auto"/>
            <w:vAlign w:val="center"/>
          </w:tcPr>
          <w:p>
            <w:pPr>
              <w:pStyle w:val="36"/>
            </w:pPr>
            <w:r>
              <w:t>1</w:t>
            </w:r>
          </w:p>
        </w:tc>
        <w:tc>
          <w:tcPr>
            <w:tcW w:w="1336" w:type="dxa"/>
            <w:tcBorders>
              <w:top w:val="nil"/>
              <w:left w:val="nil"/>
              <w:bottom w:val="single" w:color="auto" w:sz="4" w:space="0"/>
              <w:right w:val="single" w:color="auto" w:sz="4" w:space="0"/>
            </w:tcBorders>
            <w:shd w:val="clear" w:color="auto" w:fill="auto"/>
            <w:vAlign w:val="center"/>
          </w:tcPr>
          <w:p>
            <w:pPr>
              <w:pStyle w:val="36"/>
            </w:pPr>
            <w:r>
              <w:rPr>
                <w:rFonts w:hint="eastAsia"/>
              </w:rPr>
              <w:t>铜川市</w:t>
            </w:r>
          </w:p>
        </w:tc>
        <w:tc>
          <w:tcPr>
            <w:tcW w:w="1134" w:type="dxa"/>
            <w:tcBorders>
              <w:top w:val="nil"/>
              <w:left w:val="nil"/>
              <w:bottom w:val="single" w:color="auto" w:sz="4" w:space="0"/>
              <w:right w:val="single" w:color="auto" w:sz="4" w:space="0"/>
            </w:tcBorders>
            <w:shd w:val="clear" w:color="000000" w:fill="FFFFFF"/>
            <w:vAlign w:val="center"/>
          </w:tcPr>
          <w:p>
            <w:pPr>
              <w:pStyle w:val="36"/>
            </w:pPr>
            <w:r>
              <w:t>0</w:t>
            </w:r>
          </w:p>
        </w:tc>
        <w:tc>
          <w:tcPr>
            <w:tcW w:w="1845" w:type="dxa"/>
            <w:tcBorders>
              <w:top w:val="nil"/>
              <w:left w:val="nil"/>
              <w:bottom w:val="single" w:color="auto" w:sz="4" w:space="0"/>
              <w:right w:val="single" w:color="auto" w:sz="4" w:space="0"/>
            </w:tcBorders>
            <w:shd w:val="clear" w:color="000000" w:fill="FFFFFF"/>
            <w:vAlign w:val="center"/>
          </w:tcPr>
          <w:p>
            <w:pPr>
              <w:pStyle w:val="36"/>
            </w:pPr>
            <w:r>
              <w:t>50</w:t>
            </w:r>
          </w:p>
        </w:tc>
        <w:tc>
          <w:tcPr>
            <w:tcW w:w="1983" w:type="dxa"/>
            <w:tcBorders>
              <w:top w:val="nil"/>
              <w:left w:val="nil"/>
              <w:bottom w:val="single" w:color="auto" w:sz="4" w:space="0"/>
              <w:right w:val="single" w:color="auto" w:sz="4" w:space="0"/>
            </w:tcBorders>
            <w:shd w:val="clear" w:color="000000" w:fill="FFFFFF"/>
            <w:vAlign w:val="center"/>
          </w:tcPr>
          <w:p>
            <w:pPr>
              <w:pStyle w:val="36"/>
            </w:pPr>
            <w:r>
              <w:t>60</w:t>
            </w:r>
          </w:p>
        </w:tc>
        <w:tc>
          <w:tcPr>
            <w:tcW w:w="1089" w:type="dxa"/>
            <w:tcBorders>
              <w:top w:val="nil"/>
              <w:left w:val="nil"/>
              <w:bottom w:val="single" w:color="auto" w:sz="4" w:space="0"/>
              <w:right w:val="single" w:color="auto" w:sz="4" w:space="0"/>
            </w:tcBorders>
            <w:shd w:val="clear" w:color="000000" w:fill="FFFFFF"/>
            <w:vAlign w:val="center"/>
          </w:tcPr>
          <w:p>
            <w:pPr>
              <w:pStyle w:val="36"/>
            </w:pPr>
            <w:r>
              <w:t>110</w:t>
            </w:r>
          </w:p>
        </w:tc>
      </w:tr>
      <w:tr>
        <w:tblPrEx>
          <w:tblLayout w:type="fixed"/>
          <w:tblCellMar>
            <w:top w:w="0" w:type="dxa"/>
            <w:left w:w="108" w:type="dxa"/>
            <w:bottom w:w="0" w:type="dxa"/>
            <w:right w:w="108" w:type="dxa"/>
          </w:tblCellMar>
        </w:tblPrEx>
        <w:trPr>
          <w:trHeight w:val="454" w:hRule="atLeast"/>
          <w:jc w:val="center"/>
        </w:trPr>
        <w:tc>
          <w:tcPr>
            <w:tcW w:w="899" w:type="dxa"/>
            <w:tcBorders>
              <w:top w:val="nil"/>
              <w:left w:val="single" w:color="auto" w:sz="4" w:space="0"/>
              <w:bottom w:val="single" w:color="auto" w:sz="4" w:space="0"/>
              <w:right w:val="single" w:color="auto" w:sz="4" w:space="0"/>
            </w:tcBorders>
            <w:shd w:val="clear" w:color="auto" w:fill="auto"/>
            <w:vAlign w:val="center"/>
          </w:tcPr>
          <w:p>
            <w:pPr>
              <w:pStyle w:val="36"/>
            </w:pPr>
            <w:r>
              <w:t>2</w:t>
            </w:r>
          </w:p>
        </w:tc>
        <w:tc>
          <w:tcPr>
            <w:tcW w:w="1336" w:type="dxa"/>
            <w:tcBorders>
              <w:top w:val="nil"/>
              <w:left w:val="nil"/>
              <w:bottom w:val="single" w:color="auto" w:sz="4" w:space="0"/>
              <w:right w:val="single" w:color="auto" w:sz="4" w:space="0"/>
            </w:tcBorders>
            <w:shd w:val="clear" w:color="auto" w:fill="auto"/>
            <w:vAlign w:val="center"/>
          </w:tcPr>
          <w:p>
            <w:pPr>
              <w:pStyle w:val="36"/>
            </w:pPr>
            <w:r>
              <w:rPr>
                <w:rFonts w:hint="eastAsia"/>
              </w:rPr>
              <w:t>渭南市</w:t>
            </w:r>
          </w:p>
        </w:tc>
        <w:tc>
          <w:tcPr>
            <w:tcW w:w="1134" w:type="dxa"/>
            <w:tcBorders>
              <w:top w:val="nil"/>
              <w:left w:val="nil"/>
              <w:bottom w:val="single" w:color="auto" w:sz="4" w:space="0"/>
              <w:right w:val="single" w:color="auto" w:sz="4" w:space="0"/>
            </w:tcBorders>
            <w:shd w:val="clear" w:color="000000" w:fill="FFFFFF"/>
            <w:vAlign w:val="center"/>
          </w:tcPr>
          <w:p>
            <w:pPr>
              <w:pStyle w:val="36"/>
            </w:pPr>
            <w:r>
              <w:t xml:space="preserve">30 </w:t>
            </w:r>
          </w:p>
        </w:tc>
        <w:tc>
          <w:tcPr>
            <w:tcW w:w="1845" w:type="dxa"/>
            <w:tcBorders>
              <w:top w:val="nil"/>
              <w:left w:val="nil"/>
              <w:bottom w:val="single" w:color="auto" w:sz="4" w:space="0"/>
              <w:right w:val="single" w:color="auto" w:sz="4" w:space="0"/>
            </w:tcBorders>
            <w:shd w:val="clear" w:color="000000" w:fill="FFFFFF"/>
            <w:vAlign w:val="center"/>
          </w:tcPr>
          <w:p>
            <w:pPr>
              <w:pStyle w:val="36"/>
            </w:pPr>
            <w:r>
              <w:t>70</w:t>
            </w:r>
          </w:p>
        </w:tc>
        <w:tc>
          <w:tcPr>
            <w:tcW w:w="1983" w:type="dxa"/>
            <w:tcBorders>
              <w:top w:val="nil"/>
              <w:left w:val="nil"/>
              <w:bottom w:val="single" w:color="auto" w:sz="4" w:space="0"/>
              <w:right w:val="single" w:color="auto" w:sz="4" w:space="0"/>
            </w:tcBorders>
            <w:shd w:val="clear" w:color="000000" w:fill="FFFFFF"/>
            <w:vAlign w:val="center"/>
          </w:tcPr>
          <w:p>
            <w:pPr>
              <w:pStyle w:val="36"/>
            </w:pPr>
            <w:r>
              <w:t>1440</w:t>
            </w:r>
          </w:p>
        </w:tc>
        <w:tc>
          <w:tcPr>
            <w:tcW w:w="1089" w:type="dxa"/>
            <w:tcBorders>
              <w:top w:val="nil"/>
              <w:left w:val="nil"/>
              <w:bottom w:val="single" w:color="auto" w:sz="4" w:space="0"/>
              <w:right w:val="single" w:color="auto" w:sz="4" w:space="0"/>
            </w:tcBorders>
            <w:shd w:val="clear" w:color="000000" w:fill="FFFFFF"/>
            <w:vAlign w:val="center"/>
          </w:tcPr>
          <w:p>
            <w:pPr>
              <w:pStyle w:val="36"/>
            </w:pPr>
            <w:r>
              <w:t>1540</w:t>
            </w:r>
          </w:p>
        </w:tc>
      </w:tr>
      <w:tr>
        <w:tblPrEx>
          <w:tblLayout w:type="fixed"/>
          <w:tblCellMar>
            <w:top w:w="0" w:type="dxa"/>
            <w:left w:w="108" w:type="dxa"/>
            <w:bottom w:w="0" w:type="dxa"/>
            <w:right w:w="108" w:type="dxa"/>
          </w:tblCellMar>
        </w:tblPrEx>
        <w:trPr>
          <w:trHeight w:val="454" w:hRule="atLeast"/>
          <w:jc w:val="center"/>
        </w:trPr>
        <w:tc>
          <w:tcPr>
            <w:tcW w:w="899" w:type="dxa"/>
            <w:tcBorders>
              <w:top w:val="nil"/>
              <w:left w:val="single" w:color="auto" w:sz="4" w:space="0"/>
              <w:bottom w:val="single" w:color="auto" w:sz="4" w:space="0"/>
              <w:right w:val="single" w:color="auto" w:sz="4" w:space="0"/>
            </w:tcBorders>
            <w:shd w:val="clear" w:color="auto" w:fill="auto"/>
            <w:vAlign w:val="center"/>
          </w:tcPr>
          <w:p>
            <w:pPr>
              <w:pStyle w:val="36"/>
            </w:pPr>
            <w:r>
              <w:t>3</w:t>
            </w:r>
          </w:p>
        </w:tc>
        <w:tc>
          <w:tcPr>
            <w:tcW w:w="1336" w:type="dxa"/>
            <w:tcBorders>
              <w:top w:val="nil"/>
              <w:left w:val="nil"/>
              <w:bottom w:val="single" w:color="auto" w:sz="4" w:space="0"/>
              <w:right w:val="single" w:color="auto" w:sz="4" w:space="0"/>
            </w:tcBorders>
            <w:shd w:val="clear" w:color="auto" w:fill="auto"/>
            <w:vAlign w:val="center"/>
          </w:tcPr>
          <w:p>
            <w:pPr>
              <w:pStyle w:val="36"/>
            </w:pPr>
            <w:r>
              <w:rPr>
                <w:rFonts w:hint="eastAsia"/>
              </w:rPr>
              <w:t>西安市</w:t>
            </w:r>
          </w:p>
        </w:tc>
        <w:tc>
          <w:tcPr>
            <w:tcW w:w="1134" w:type="dxa"/>
            <w:tcBorders>
              <w:top w:val="nil"/>
              <w:left w:val="nil"/>
              <w:bottom w:val="single" w:color="auto" w:sz="4" w:space="0"/>
              <w:right w:val="single" w:color="auto" w:sz="4" w:space="0"/>
            </w:tcBorders>
            <w:shd w:val="clear" w:color="000000" w:fill="FFFFFF"/>
            <w:vAlign w:val="center"/>
          </w:tcPr>
          <w:p>
            <w:pPr>
              <w:pStyle w:val="36"/>
            </w:pPr>
            <w:r>
              <w:t>0</w:t>
            </w:r>
          </w:p>
        </w:tc>
        <w:tc>
          <w:tcPr>
            <w:tcW w:w="1845" w:type="dxa"/>
            <w:tcBorders>
              <w:top w:val="nil"/>
              <w:left w:val="nil"/>
              <w:bottom w:val="single" w:color="auto" w:sz="4" w:space="0"/>
              <w:right w:val="single" w:color="auto" w:sz="4" w:space="0"/>
            </w:tcBorders>
            <w:shd w:val="clear" w:color="000000" w:fill="FFFFFF"/>
            <w:vAlign w:val="center"/>
          </w:tcPr>
          <w:p>
            <w:pPr>
              <w:pStyle w:val="36"/>
            </w:pPr>
            <w:r>
              <w:t>0</w:t>
            </w:r>
          </w:p>
        </w:tc>
        <w:tc>
          <w:tcPr>
            <w:tcW w:w="1983" w:type="dxa"/>
            <w:tcBorders>
              <w:top w:val="nil"/>
              <w:left w:val="nil"/>
              <w:bottom w:val="single" w:color="auto" w:sz="4" w:space="0"/>
              <w:right w:val="single" w:color="auto" w:sz="4" w:space="0"/>
            </w:tcBorders>
            <w:shd w:val="clear" w:color="000000" w:fill="FFFFFF"/>
            <w:vAlign w:val="center"/>
          </w:tcPr>
          <w:p>
            <w:pPr>
              <w:pStyle w:val="36"/>
            </w:pPr>
            <w:r>
              <w:t>0</w:t>
            </w:r>
          </w:p>
        </w:tc>
        <w:tc>
          <w:tcPr>
            <w:tcW w:w="1089" w:type="dxa"/>
            <w:tcBorders>
              <w:top w:val="nil"/>
              <w:left w:val="nil"/>
              <w:bottom w:val="single" w:color="auto" w:sz="4" w:space="0"/>
              <w:right w:val="single" w:color="auto" w:sz="4" w:space="0"/>
            </w:tcBorders>
            <w:shd w:val="clear" w:color="000000" w:fill="FFFFFF"/>
            <w:vAlign w:val="center"/>
          </w:tcPr>
          <w:p>
            <w:pPr>
              <w:pStyle w:val="36"/>
            </w:pPr>
            <w:r>
              <w:t>0</w:t>
            </w:r>
          </w:p>
        </w:tc>
      </w:tr>
      <w:tr>
        <w:tblPrEx>
          <w:tblLayout w:type="fixed"/>
          <w:tblCellMar>
            <w:top w:w="0" w:type="dxa"/>
            <w:left w:w="108" w:type="dxa"/>
            <w:bottom w:w="0" w:type="dxa"/>
            <w:right w:w="108" w:type="dxa"/>
          </w:tblCellMar>
        </w:tblPrEx>
        <w:trPr>
          <w:trHeight w:val="454" w:hRule="atLeast"/>
          <w:jc w:val="center"/>
        </w:trPr>
        <w:tc>
          <w:tcPr>
            <w:tcW w:w="899" w:type="dxa"/>
            <w:tcBorders>
              <w:top w:val="nil"/>
              <w:left w:val="single" w:color="auto" w:sz="4" w:space="0"/>
              <w:bottom w:val="single" w:color="auto" w:sz="4" w:space="0"/>
              <w:right w:val="single" w:color="auto" w:sz="4" w:space="0"/>
            </w:tcBorders>
            <w:shd w:val="clear" w:color="auto" w:fill="auto"/>
            <w:vAlign w:val="center"/>
          </w:tcPr>
          <w:p>
            <w:pPr>
              <w:pStyle w:val="36"/>
            </w:pPr>
            <w:r>
              <w:t>4</w:t>
            </w:r>
          </w:p>
        </w:tc>
        <w:tc>
          <w:tcPr>
            <w:tcW w:w="1336" w:type="dxa"/>
            <w:tcBorders>
              <w:top w:val="nil"/>
              <w:left w:val="nil"/>
              <w:bottom w:val="single" w:color="auto" w:sz="4" w:space="0"/>
              <w:right w:val="single" w:color="auto" w:sz="4" w:space="0"/>
            </w:tcBorders>
            <w:shd w:val="clear" w:color="auto" w:fill="auto"/>
            <w:vAlign w:val="center"/>
          </w:tcPr>
          <w:p>
            <w:pPr>
              <w:pStyle w:val="36"/>
            </w:pPr>
            <w:r>
              <w:rPr>
                <w:rFonts w:hint="eastAsia"/>
              </w:rPr>
              <w:t>咸阳市</w:t>
            </w:r>
          </w:p>
        </w:tc>
        <w:tc>
          <w:tcPr>
            <w:tcW w:w="1134" w:type="dxa"/>
            <w:tcBorders>
              <w:top w:val="nil"/>
              <w:left w:val="nil"/>
              <w:bottom w:val="single" w:color="auto" w:sz="4" w:space="0"/>
              <w:right w:val="single" w:color="auto" w:sz="4" w:space="0"/>
            </w:tcBorders>
            <w:shd w:val="clear" w:color="000000" w:fill="FFFFFF"/>
            <w:vAlign w:val="center"/>
          </w:tcPr>
          <w:p>
            <w:pPr>
              <w:pStyle w:val="36"/>
            </w:pPr>
            <w:r>
              <w:t>0</w:t>
            </w:r>
          </w:p>
        </w:tc>
        <w:tc>
          <w:tcPr>
            <w:tcW w:w="1845" w:type="dxa"/>
            <w:tcBorders>
              <w:top w:val="nil"/>
              <w:left w:val="nil"/>
              <w:bottom w:val="single" w:color="auto" w:sz="4" w:space="0"/>
              <w:right w:val="single" w:color="auto" w:sz="4" w:space="0"/>
            </w:tcBorders>
            <w:shd w:val="clear" w:color="000000" w:fill="FFFFFF"/>
            <w:vAlign w:val="center"/>
          </w:tcPr>
          <w:p>
            <w:pPr>
              <w:pStyle w:val="36"/>
            </w:pPr>
            <w:r>
              <w:t>0</w:t>
            </w:r>
          </w:p>
        </w:tc>
        <w:tc>
          <w:tcPr>
            <w:tcW w:w="1983" w:type="dxa"/>
            <w:tcBorders>
              <w:top w:val="nil"/>
              <w:left w:val="nil"/>
              <w:bottom w:val="single" w:color="auto" w:sz="4" w:space="0"/>
              <w:right w:val="single" w:color="auto" w:sz="4" w:space="0"/>
            </w:tcBorders>
            <w:shd w:val="clear" w:color="000000" w:fill="FFFFFF"/>
            <w:vAlign w:val="center"/>
          </w:tcPr>
          <w:p>
            <w:pPr>
              <w:pStyle w:val="36"/>
            </w:pPr>
            <w:r>
              <w:t>170</w:t>
            </w:r>
          </w:p>
        </w:tc>
        <w:tc>
          <w:tcPr>
            <w:tcW w:w="1089" w:type="dxa"/>
            <w:tcBorders>
              <w:top w:val="nil"/>
              <w:left w:val="nil"/>
              <w:bottom w:val="single" w:color="auto" w:sz="4" w:space="0"/>
              <w:right w:val="single" w:color="auto" w:sz="4" w:space="0"/>
            </w:tcBorders>
            <w:shd w:val="clear" w:color="000000" w:fill="FFFFFF"/>
            <w:vAlign w:val="center"/>
          </w:tcPr>
          <w:p>
            <w:pPr>
              <w:pStyle w:val="36"/>
            </w:pPr>
            <w:r>
              <w:t>170</w:t>
            </w:r>
          </w:p>
        </w:tc>
      </w:tr>
      <w:tr>
        <w:tblPrEx>
          <w:tblLayout w:type="fixed"/>
          <w:tblCellMar>
            <w:top w:w="0" w:type="dxa"/>
            <w:left w:w="108" w:type="dxa"/>
            <w:bottom w:w="0" w:type="dxa"/>
            <w:right w:w="108" w:type="dxa"/>
          </w:tblCellMar>
        </w:tblPrEx>
        <w:trPr>
          <w:trHeight w:val="454" w:hRule="atLeast"/>
          <w:jc w:val="center"/>
        </w:trPr>
        <w:tc>
          <w:tcPr>
            <w:tcW w:w="899" w:type="dxa"/>
            <w:tcBorders>
              <w:top w:val="nil"/>
              <w:left w:val="single" w:color="auto" w:sz="4" w:space="0"/>
              <w:bottom w:val="single" w:color="auto" w:sz="4" w:space="0"/>
              <w:right w:val="single" w:color="auto" w:sz="4" w:space="0"/>
            </w:tcBorders>
            <w:shd w:val="clear" w:color="auto" w:fill="auto"/>
            <w:vAlign w:val="center"/>
          </w:tcPr>
          <w:p>
            <w:pPr>
              <w:pStyle w:val="36"/>
            </w:pPr>
            <w:r>
              <w:t>5</w:t>
            </w:r>
          </w:p>
        </w:tc>
        <w:tc>
          <w:tcPr>
            <w:tcW w:w="1336" w:type="dxa"/>
            <w:tcBorders>
              <w:top w:val="nil"/>
              <w:left w:val="nil"/>
              <w:bottom w:val="single" w:color="auto" w:sz="4" w:space="0"/>
              <w:right w:val="single" w:color="auto" w:sz="4" w:space="0"/>
            </w:tcBorders>
            <w:shd w:val="clear" w:color="auto" w:fill="auto"/>
            <w:vAlign w:val="center"/>
          </w:tcPr>
          <w:p>
            <w:pPr>
              <w:pStyle w:val="36"/>
            </w:pPr>
            <w:r>
              <w:rPr>
                <w:rFonts w:hint="eastAsia"/>
              </w:rPr>
              <w:t>宝鸡市</w:t>
            </w:r>
          </w:p>
        </w:tc>
        <w:tc>
          <w:tcPr>
            <w:tcW w:w="1134" w:type="dxa"/>
            <w:tcBorders>
              <w:top w:val="nil"/>
              <w:left w:val="nil"/>
              <w:bottom w:val="single" w:color="auto" w:sz="4" w:space="0"/>
              <w:right w:val="single" w:color="auto" w:sz="4" w:space="0"/>
            </w:tcBorders>
            <w:shd w:val="clear" w:color="000000" w:fill="FFFFFF"/>
            <w:vAlign w:val="center"/>
          </w:tcPr>
          <w:p>
            <w:pPr>
              <w:pStyle w:val="36"/>
            </w:pPr>
            <w:r>
              <w:t>0</w:t>
            </w:r>
          </w:p>
        </w:tc>
        <w:tc>
          <w:tcPr>
            <w:tcW w:w="1845" w:type="dxa"/>
            <w:tcBorders>
              <w:top w:val="nil"/>
              <w:left w:val="nil"/>
              <w:bottom w:val="single" w:color="auto" w:sz="4" w:space="0"/>
              <w:right w:val="single" w:color="auto" w:sz="4" w:space="0"/>
            </w:tcBorders>
            <w:shd w:val="clear" w:color="000000" w:fill="FFFFFF"/>
            <w:vAlign w:val="center"/>
          </w:tcPr>
          <w:p>
            <w:pPr>
              <w:pStyle w:val="36"/>
            </w:pPr>
            <w:r>
              <w:t>20</w:t>
            </w:r>
          </w:p>
        </w:tc>
        <w:tc>
          <w:tcPr>
            <w:tcW w:w="1983" w:type="dxa"/>
            <w:tcBorders>
              <w:top w:val="nil"/>
              <w:left w:val="nil"/>
              <w:bottom w:val="single" w:color="auto" w:sz="4" w:space="0"/>
              <w:right w:val="single" w:color="auto" w:sz="4" w:space="0"/>
            </w:tcBorders>
            <w:shd w:val="clear" w:color="000000" w:fill="FFFFFF"/>
            <w:vAlign w:val="center"/>
          </w:tcPr>
          <w:p>
            <w:pPr>
              <w:pStyle w:val="36"/>
            </w:pPr>
            <w:r>
              <w:t>155</w:t>
            </w:r>
          </w:p>
        </w:tc>
        <w:tc>
          <w:tcPr>
            <w:tcW w:w="1089" w:type="dxa"/>
            <w:tcBorders>
              <w:top w:val="nil"/>
              <w:left w:val="nil"/>
              <w:bottom w:val="single" w:color="auto" w:sz="4" w:space="0"/>
              <w:right w:val="single" w:color="auto" w:sz="4" w:space="0"/>
            </w:tcBorders>
            <w:shd w:val="clear" w:color="000000" w:fill="FFFFFF"/>
            <w:vAlign w:val="center"/>
          </w:tcPr>
          <w:p>
            <w:pPr>
              <w:pStyle w:val="36"/>
            </w:pPr>
            <w:r>
              <w:t>175</w:t>
            </w:r>
          </w:p>
        </w:tc>
      </w:tr>
      <w:tr>
        <w:tblPrEx>
          <w:tblLayout w:type="fixed"/>
          <w:tblCellMar>
            <w:top w:w="0" w:type="dxa"/>
            <w:left w:w="108" w:type="dxa"/>
            <w:bottom w:w="0" w:type="dxa"/>
            <w:right w:w="108" w:type="dxa"/>
          </w:tblCellMar>
        </w:tblPrEx>
        <w:trPr>
          <w:trHeight w:val="454" w:hRule="atLeast"/>
          <w:jc w:val="center"/>
        </w:trPr>
        <w:tc>
          <w:tcPr>
            <w:tcW w:w="899" w:type="dxa"/>
            <w:tcBorders>
              <w:top w:val="nil"/>
              <w:left w:val="single" w:color="auto" w:sz="4" w:space="0"/>
              <w:bottom w:val="single" w:color="auto" w:sz="4" w:space="0"/>
              <w:right w:val="single" w:color="auto" w:sz="4" w:space="0"/>
            </w:tcBorders>
            <w:shd w:val="clear" w:color="auto" w:fill="auto"/>
            <w:vAlign w:val="center"/>
          </w:tcPr>
          <w:p>
            <w:pPr>
              <w:pStyle w:val="36"/>
            </w:pPr>
            <w:r>
              <w:t>6</w:t>
            </w:r>
          </w:p>
        </w:tc>
        <w:tc>
          <w:tcPr>
            <w:tcW w:w="1336" w:type="dxa"/>
            <w:tcBorders>
              <w:top w:val="nil"/>
              <w:left w:val="nil"/>
              <w:bottom w:val="single" w:color="auto" w:sz="4" w:space="0"/>
              <w:right w:val="single" w:color="auto" w:sz="4" w:space="0"/>
            </w:tcBorders>
            <w:shd w:val="clear" w:color="auto" w:fill="auto"/>
            <w:vAlign w:val="center"/>
          </w:tcPr>
          <w:p>
            <w:pPr>
              <w:pStyle w:val="36"/>
            </w:pPr>
            <w:r>
              <w:rPr>
                <w:rFonts w:hint="eastAsia"/>
              </w:rPr>
              <w:t>杨凌区</w:t>
            </w:r>
          </w:p>
        </w:tc>
        <w:tc>
          <w:tcPr>
            <w:tcW w:w="1134" w:type="dxa"/>
            <w:tcBorders>
              <w:top w:val="nil"/>
              <w:left w:val="nil"/>
              <w:bottom w:val="single" w:color="auto" w:sz="4" w:space="0"/>
              <w:right w:val="single" w:color="auto" w:sz="4" w:space="0"/>
            </w:tcBorders>
            <w:shd w:val="clear" w:color="000000" w:fill="FFFFFF"/>
            <w:vAlign w:val="center"/>
          </w:tcPr>
          <w:p>
            <w:pPr>
              <w:pStyle w:val="36"/>
            </w:pPr>
            <w:r>
              <w:t>0</w:t>
            </w:r>
          </w:p>
        </w:tc>
        <w:tc>
          <w:tcPr>
            <w:tcW w:w="1845" w:type="dxa"/>
            <w:tcBorders>
              <w:top w:val="nil"/>
              <w:left w:val="nil"/>
              <w:bottom w:val="single" w:color="auto" w:sz="4" w:space="0"/>
              <w:right w:val="single" w:color="auto" w:sz="4" w:space="0"/>
            </w:tcBorders>
            <w:shd w:val="clear" w:color="000000" w:fill="FFFFFF"/>
            <w:vAlign w:val="center"/>
          </w:tcPr>
          <w:p>
            <w:pPr>
              <w:pStyle w:val="36"/>
            </w:pPr>
            <w:r>
              <w:t>0</w:t>
            </w:r>
          </w:p>
        </w:tc>
        <w:tc>
          <w:tcPr>
            <w:tcW w:w="1983" w:type="dxa"/>
            <w:tcBorders>
              <w:top w:val="nil"/>
              <w:left w:val="nil"/>
              <w:bottom w:val="single" w:color="auto" w:sz="4" w:space="0"/>
              <w:right w:val="single" w:color="auto" w:sz="4" w:space="0"/>
            </w:tcBorders>
            <w:shd w:val="clear" w:color="000000" w:fill="FFFFFF"/>
            <w:vAlign w:val="center"/>
          </w:tcPr>
          <w:p>
            <w:pPr>
              <w:pStyle w:val="36"/>
            </w:pPr>
            <w:r>
              <w:t>0</w:t>
            </w:r>
          </w:p>
        </w:tc>
        <w:tc>
          <w:tcPr>
            <w:tcW w:w="1089" w:type="dxa"/>
            <w:tcBorders>
              <w:top w:val="nil"/>
              <w:left w:val="nil"/>
              <w:bottom w:val="single" w:color="auto" w:sz="4" w:space="0"/>
              <w:right w:val="single" w:color="auto" w:sz="4" w:space="0"/>
            </w:tcBorders>
            <w:shd w:val="clear" w:color="000000" w:fill="FFFFFF"/>
            <w:vAlign w:val="center"/>
          </w:tcPr>
          <w:p>
            <w:pPr>
              <w:pStyle w:val="36"/>
            </w:pPr>
            <w:r>
              <w:t>0</w:t>
            </w:r>
          </w:p>
        </w:tc>
      </w:tr>
      <w:tr>
        <w:tblPrEx>
          <w:tblLayout w:type="fixed"/>
          <w:tblCellMar>
            <w:top w:w="0" w:type="dxa"/>
            <w:left w:w="108" w:type="dxa"/>
            <w:bottom w:w="0" w:type="dxa"/>
            <w:right w:w="108" w:type="dxa"/>
          </w:tblCellMar>
        </w:tblPrEx>
        <w:trPr>
          <w:trHeight w:val="454" w:hRule="atLeast"/>
          <w:jc w:val="center"/>
        </w:trPr>
        <w:tc>
          <w:tcPr>
            <w:tcW w:w="899" w:type="dxa"/>
            <w:tcBorders>
              <w:top w:val="nil"/>
              <w:left w:val="single" w:color="auto" w:sz="4" w:space="0"/>
              <w:bottom w:val="single" w:color="auto" w:sz="4" w:space="0"/>
              <w:right w:val="single" w:color="auto" w:sz="4" w:space="0"/>
            </w:tcBorders>
            <w:shd w:val="clear" w:color="auto" w:fill="auto"/>
            <w:vAlign w:val="center"/>
          </w:tcPr>
          <w:p>
            <w:pPr>
              <w:pStyle w:val="36"/>
            </w:pPr>
            <w:r>
              <w:t>7</w:t>
            </w:r>
          </w:p>
        </w:tc>
        <w:tc>
          <w:tcPr>
            <w:tcW w:w="1336" w:type="dxa"/>
            <w:tcBorders>
              <w:top w:val="nil"/>
              <w:left w:val="nil"/>
              <w:bottom w:val="single" w:color="auto" w:sz="4" w:space="0"/>
              <w:right w:val="single" w:color="auto" w:sz="4" w:space="0"/>
            </w:tcBorders>
            <w:shd w:val="clear" w:color="auto" w:fill="auto"/>
            <w:vAlign w:val="center"/>
          </w:tcPr>
          <w:p>
            <w:pPr>
              <w:pStyle w:val="36"/>
            </w:pPr>
            <w:r>
              <w:rPr>
                <w:rFonts w:hint="eastAsia"/>
              </w:rPr>
              <w:t>小计</w:t>
            </w:r>
          </w:p>
        </w:tc>
        <w:tc>
          <w:tcPr>
            <w:tcW w:w="1134" w:type="dxa"/>
            <w:tcBorders>
              <w:top w:val="nil"/>
              <w:left w:val="nil"/>
              <w:bottom w:val="single" w:color="auto" w:sz="4" w:space="0"/>
              <w:right w:val="single" w:color="auto" w:sz="4" w:space="0"/>
            </w:tcBorders>
            <w:shd w:val="clear" w:color="auto" w:fill="auto"/>
            <w:vAlign w:val="center"/>
          </w:tcPr>
          <w:p>
            <w:pPr>
              <w:pStyle w:val="36"/>
            </w:pPr>
            <w:r>
              <w:t>30</w:t>
            </w:r>
          </w:p>
        </w:tc>
        <w:tc>
          <w:tcPr>
            <w:tcW w:w="1845" w:type="dxa"/>
            <w:tcBorders>
              <w:top w:val="nil"/>
              <w:left w:val="nil"/>
              <w:bottom w:val="single" w:color="auto" w:sz="4" w:space="0"/>
              <w:right w:val="single" w:color="auto" w:sz="4" w:space="0"/>
            </w:tcBorders>
            <w:shd w:val="clear" w:color="auto" w:fill="auto"/>
            <w:vAlign w:val="center"/>
          </w:tcPr>
          <w:p>
            <w:pPr>
              <w:pStyle w:val="36"/>
            </w:pPr>
            <w:r>
              <w:t>140</w:t>
            </w:r>
          </w:p>
        </w:tc>
        <w:tc>
          <w:tcPr>
            <w:tcW w:w="1983" w:type="dxa"/>
            <w:tcBorders>
              <w:top w:val="nil"/>
              <w:left w:val="nil"/>
              <w:bottom w:val="single" w:color="auto" w:sz="4" w:space="0"/>
              <w:right w:val="single" w:color="auto" w:sz="4" w:space="0"/>
            </w:tcBorders>
            <w:shd w:val="clear" w:color="auto" w:fill="auto"/>
            <w:vAlign w:val="center"/>
          </w:tcPr>
          <w:p>
            <w:pPr>
              <w:pStyle w:val="36"/>
            </w:pPr>
            <w:r>
              <w:t>1825</w:t>
            </w:r>
          </w:p>
        </w:tc>
        <w:tc>
          <w:tcPr>
            <w:tcW w:w="1089" w:type="dxa"/>
            <w:tcBorders>
              <w:top w:val="nil"/>
              <w:left w:val="nil"/>
              <w:bottom w:val="single" w:color="auto" w:sz="4" w:space="0"/>
              <w:right w:val="single" w:color="auto" w:sz="4" w:space="0"/>
            </w:tcBorders>
            <w:shd w:val="clear" w:color="auto" w:fill="auto"/>
            <w:vAlign w:val="center"/>
          </w:tcPr>
          <w:p>
            <w:pPr>
              <w:pStyle w:val="36"/>
            </w:pPr>
            <w:r>
              <w:t>1995</w:t>
            </w:r>
          </w:p>
        </w:tc>
      </w:tr>
      <w:tr>
        <w:tblPrEx>
          <w:tblLayout w:type="fixed"/>
          <w:tblCellMar>
            <w:top w:w="0" w:type="dxa"/>
            <w:left w:w="108" w:type="dxa"/>
            <w:bottom w:w="0" w:type="dxa"/>
            <w:right w:w="108" w:type="dxa"/>
          </w:tblCellMar>
        </w:tblPrEx>
        <w:trPr>
          <w:trHeight w:val="454" w:hRule="atLeast"/>
          <w:jc w:val="center"/>
        </w:trPr>
        <w:tc>
          <w:tcPr>
            <w:tcW w:w="899" w:type="dxa"/>
            <w:tcBorders>
              <w:top w:val="nil"/>
              <w:left w:val="single" w:color="auto" w:sz="4" w:space="0"/>
              <w:bottom w:val="single" w:color="auto" w:sz="4" w:space="0"/>
              <w:right w:val="single" w:color="auto" w:sz="4" w:space="0"/>
            </w:tcBorders>
            <w:shd w:val="clear" w:color="auto" w:fill="auto"/>
            <w:vAlign w:val="center"/>
          </w:tcPr>
          <w:p>
            <w:pPr>
              <w:pStyle w:val="36"/>
            </w:pPr>
            <w:r>
              <w:rPr>
                <w:rFonts w:hint="eastAsia"/>
              </w:rPr>
              <w:t>三</w:t>
            </w:r>
          </w:p>
        </w:tc>
        <w:tc>
          <w:tcPr>
            <w:tcW w:w="1336" w:type="dxa"/>
            <w:tcBorders>
              <w:top w:val="nil"/>
              <w:left w:val="nil"/>
              <w:bottom w:val="single" w:color="auto" w:sz="4" w:space="0"/>
              <w:right w:val="single" w:color="auto" w:sz="4" w:space="0"/>
            </w:tcBorders>
            <w:shd w:val="clear" w:color="auto" w:fill="auto"/>
            <w:vAlign w:val="center"/>
          </w:tcPr>
          <w:p>
            <w:pPr>
              <w:pStyle w:val="36"/>
            </w:pPr>
            <w:r>
              <w:rPr>
                <w:rFonts w:hint="eastAsia"/>
              </w:rPr>
              <w:t>陕南地区</w:t>
            </w:r>
          </w:p>
        </w:tc>
        <w:tc>
          <w:tcPr>
            <w:tcW w:w="1134" w:type="dxa"/>
            <w:tcBorders>
              <w:top w:val="nil"/>
              <w:left w:val="nil"/>
              <w:bottom w:val="single" w:color="auto" w:sz="4" w:space="0"/>
              <w:right w:val="single" w:color="auto" w:sz="4" w:space="0"/>
            </w:tcBorders>
            <w:shd w:val="clear" w:color="auto" w:fill="auto"/>
            <w:vAlign w:val="center"/>
          </w:tcPr>
          <w:p>
            <w:pPr>
              <w:pStyle w:val="36"/>
            </w:pPr>
            <w:r>
              <w:t>　</w:t>
            </w:r>
          </w:p>
        </w:tc>
        <w:tc>
          <w:tcPr>
            <w:tcW w:w="1845" w:type="dxa"/>
            <w:tcBorders>
              <w:top w:val="nil"/>
              <w:left w:val="nil"/>
              <w:bottom w:val="single" w:color="auto" w:sz="4" w:space="0"/>
              <w:right w:val="single" w:color="auto" w:sz="4" w:space="0"/>
            </w:tcBorders>
            <w:shd w:val="clear" w:color="auto" w:fill="auto"/>
            <w:vAlign w:val="center"/>
          </w:tcPr>
          <w:p>
            <w:pPr>
              <w:pStyle w:val="36"/>
            </w:pPr>
            <w:r>
              <w:t>　</w:t>
            </w:r>
          </w:p>
        </w:tc>
        <w:tc>
          <w:tcPr>
            <w:tcW w:w="1983" w:type="dxa"/>
            <w:tcBorders>
              <w:top w:val="nil"/>
              <w:left w:val="nil"/>
              <w:bottom w:val="single" w:color="auto" w:sz="4" w:space="0"/>
              <w:right w:val="single" w:color="auto" w:sz="4" w:space="0"/>
            </w:tcBorders>
            <w:shd w:val="clear" w:color="auto" w:fill="auto"/>
            <w:vAlign w:val="center"/>
          </w:tcPr>
          <w:p>
            <w:pPr>
              <w:pStyle w:val="36"/>
            </w:pPr>
            <w:r>
              <w:t>　</w:t>
            </w:r>
          </w:p>
        </w:tc>
        <w:tc>
          <w:tcPr>
            <w:tcW w:w="1089" w:type="dxa"/>
            <w:tcBorders>
              <w:top w:val="nil"/>
              <w:left w:val="nil"/>
              <w:bottom w:val="single" w:color="auto" w:sz="4" w:space="0"/>
              <w:right w:val="single" w:color="auto" w:sz="4" w:space="0"/>
            </w:tcBorders>
            <w:shd w:val="clear" w:color="auto" w:fill="auto"/>
            <w:vAlign w:val="center"/>
          </w:tcPr>
          <w:p>
            <w:pPr>
              <w:pStyle w:val="36"/>
            </w:pPr>
            <w:r>
              <w:t>　</w:t>
            </w:r>
          </w:p>
        </w:tc>
      </w:tr>
      <w:tr>
        <w:tblPrEx>
          <w:tblLayout w:type="fixed"/>
          <w:tblCellMar>
            <w:top w:w="0" w:type="dxa"/>
            <w:left w:w="108" w:type="dxa"/>
            <w:bottom w:w="0" w:type="dxa"/>
            <w:right w:w="108" w:type="dxa"/>
          </w:tblCellMar>
        </w:tblPrEx>
        <w:trPr>
          <w:trHeight w:val="454" w:hRule="atLeast"/>
          <w:jc w:val="center"/>
        </w:trPr>
        <w:tc>
          <w:tcPr>
            <w:tcW w:w="899" w:type="dxa"/>
            <w:tcBorders>
              <w:top w:val="nil"/>
              <w:left w:val="single" w:color="auto" w:sz="4" w:space="0"/>
              <w:bottom w:val="single" w:color="auto" w:sz="4" w:space="0"/>
              <w:right w:val="single" w:color="auto" w:sz="4" w:space="0"/>
            </w:tcBorders>
            <w:shd w:val="clear" w:color="auto" w:fill="auto"/>
            <w:vAlign w:val="center"/>
          </w:tcPr>
          <w:p>
            <w:pPr>
              <w:pStyle w:val="36"/>
            </w:pPr>
            <w:r>
              <w:t>1</w:t>
            </w:r>
          </w:p>
        </w:tc>
        <w:tc>
          <w:tcPr>
            <w:tcW w:w="1336" w:type="dxa"/>
            <w:tcBorders>
              <w:top w:val="nil"/>
              <w:left w:val="nil"/>
              <w:bottom w:val="single" w:color="auto" w:sz="4" w:space="0"/>
              <w:right w:val="single" w:color="auto" w:sz="4" w:space="0"/>
            </w:tcBorders>
            <w:shd w:val="clear" w:color="auto" w:fill="auto"/>
            <w:vAlign w:val="center"/>
          </w:tcPr>
          <w:p>
            <w:pPr>
              <w:pStyle w:val="36"/>
            </w:pPr>
            <w:r>
              <w:rPr>
                <w:rFonts w:hint="eastAsia"/>
              </w:rPr>
              <w:t>商洛市</w:t>
            </w:r>
          </w:p>
        </w:tc>
        <w:tc>
          <w:tcPr>
            <w:tcW w:w="1134" w:type="dxa"/>
            <w:tcBorders>
              <w:top w:val="nil"/>
              <w:left w:val="nil"/>
              <w:bottom w:val="single" w:color="auto" w:sz="4" w:space="0"/>
              <w:right w:val="single" w:color="auto" w:sz="4" w:space="0"/>
            </w:tcBorders>
            <w:shd w:val="clear" w:color="auto" w:fill="auto"/>
            <w:vAlign w:val="center"/>
          </w:tcPr>
          <w:p>
            <w:pPr>
              <w:pStyle w:val="36"/>
            </w:pPr>
            <w:r>
              <w:t>0</w:t>
            </w:r>
          </w:p>
        </w:tc>
        <w:tc>
          <w:tcPr>
            <w:tcW w:w="1845" w:type="dxa"/>
            <w:tcBorders>
              <w:top w:val="nil"/>
              <w:left w:val="nil"/>
              <w:bottom w:val="single" w:color="auto" w:sz="4" w:space="0"/>
              <w:right w:val="single" w:color="auto" w:sz="4" w:space="0"/>
            </w:tcBorders>
            <w:shd w:val="clear" w:color="auto" w:fill="auto"/>
            <w:vAlign w:val="center"/>
          </w:tcPr>
          <w:p>
            <w:pPr>
              <w:pStyle w:val="36"/>
            </w:pPr>
            <w:r>
              <w:t>0</w:t>
            </w:r>
          </w:p>
        </w:tc>
        <w:tc>
          <w:tcPr>
            <w:tcW w:w="1983" w:type="dxa"/>
            <w:tcBorders>
              <w:top w:val="nil"/>
              <w:left w:val="nil"/>
              <w:bottom w:val="single" w:color="auto" w:sz="4" w:space="0"/>
              <w:right w:val="single" w:color="auto" w:sz="4" w:space="0"/>
            </w:tcBorders>
            <w:shd w:val="clear" w:color="auto" w:fill="auto"/>
            <w:vAlign w:val="center"/>
          </w:tcPr>
          <w:p>
            <w:pPr>
              <w:pStyle w:val="36"/>
            </w:pPr>
            <w:r>
              <w:t>890</w:t>
            </w:r>
          </w:p>
        </w:tc>
        <w:tc>
          <w:tcPr>
            <w:tcW w:w="1089" w:type="dxa"/>
            <w:tcBorders>
              <w:top w:val="nil"/>
              <w:left w:val="nil"/>
              <w:bottom w:val="single" w:color="auto" w:sz="4" w:space="0"/>
              <w:right w:val="single" w:color="auto" w:sz="4" w:space="0"/>
            </w:tcBorders>
            <w:shd w:val="clear" w:color="auto" w:fill="auto"/>
            <w:vAlign w:val="center"/>
          </w:tcPr>
          <w:p>
            <w:pPr>
              <w:pStyle w:val="36"/>
            </w:pPr>
            <w:r>
              <w:t>890</w:t>
            </w:r>
          </w:p>
        </w:tc>
      </w:tr>
      <w:tr>
        <w:tblPrEx>
          <w:tblLayout w:type="fixed"/>
          <w:tblCellMar>
            <w:top w:w="0" w:type="dxa"/>
            <w:left w:w="108" w:type="dxa"/>
            <w:bottom w:w="0" w:type="dxa"/>
            <w:right w:w="108" w:type="dxa"/>
          </w:tblCellMar>
        </w:tblPrEx>
        <w:trPr>
          <w:trHeight w:val="454" w:hRule="atLeast"/>
          <w:jc w:val="center"/>
        </w:trPr>
        <w:tc>
          <w:tcPr>
            <w:tcW w:w="899" w:type="dxa"/>
            <w:tcBorders>
              <w:top w:val="nil"/>
              <w:left w:val="single" w:color="auto" w:sz="4" w:space="0"/>
              <w:bottom w:val="single" w:color="auto" w:sz="4" w:space="0"/>
              <w:right w:val="single" w:color="auto" w:sz="4" w:space="0"/>
            </w:tcBorders>
            <w:shd w:val="clear" w:color="auto" w:fill="auto"/>
            <w:vAlign w:val="center"/>
          </w:tcPr>
          <w:p>
            <w:pPr>
              <w:pStyle w:val="36"/>
            </w:pPr>
            <w:r>
              <w:t>2</w:t>
            </w:r>
          </w:p>
        </w:tc>
        <w:tc>
          <w:tcPr>
            <w:tcW w:w="1336" w:type="dxa"/>
            <w:tcBorders>
              <w:top w:val="nil"/>
              <w:left w:val="nil"/>
              <w:bottom w:val="single" w:color="auto" w:sz="4" w:space="0"/>
              <w:right w:val="single" w:color="auto" w:sz="4" w:space="0"/>
            </w:tcBorders>
            <w:shd w:val="clear" w:color="auto" w:fill="auto"/>
            <w:vAlign w:val="center"/>
          </w:tcPr>
          <w:p>
            <w:pPr>
              <w:pStyle w:val="36"/>
            </w:pPr>
            <w:r>
              <w:rPr>
                <w:rFonts w:hint="eastAsia"/>
              </w:rPr>
              <w:t>安康市</w:t>
            </w:r>
          </w:p>
        </w:tc>
        <w:tc>
          <w:tcPr>
            <w:tcW w:w="1134" w:type="dxa"/>
            <w:tcBorders>
              <w:top w:val="nil"/>
              <w:left w:val="nil"/>
              <w:bottom w:val="single" w:color="auto" w:sz="4" w:space="0"/>
              <w:right w:val="single" w:color="auto" w:sz="4" w:space="0"/>
            </w:tcBorders>
            <w:shd w:val="clear" w:color="auto" w:fill="auto"/>
            <w:vAlign w:val="center"/>
          </w:tcPr>
          <w:p>
            <w:pPr>
              <w:pStyle w:val="36"/>
            </w:pPr>
            <w:r>
              <w:t>0</w:t>
            </w:r>
          </w:p>
        </w:tc>
        <w:tc>
          <w:tcPr>
            <w:tcW w:w="1845" w:type="dxa"/>
            <w:tcBorders>
              <w:top w:val="nil"/>
              <w:left w:val="nil"/>
              <w:bottom w:val="single" w:color="auto" w:sz="4" w:space="0"/>
              <w:right w:val="single" w:color="auto" w:sz="4" w:space="0"/>
            </w:tcBorders>
            <w:shd w:val="clear" w:color="auto" w:fill="auto"/>
            <w:vAlign w:val="center"/>
          </w:tcPr>
          <w:p>
            <w:pPr>
              <w:pStyle w:val="36"/>
            </w:pPr>
            <w:r>
              <w:t>0</w:t>
            </w:r>
          </w:p>
        </w:tc>
        <w:tc>
          <w:tcPr>
            <w:tcW w:w="1983" w:type="dxa"/>
            <w:tcBorders>
              <w:top w:val="nil"/>
              <w:left w:val="nil"/>
              <w:bottom w:val="single" w:color="auto" w:sz="4" w:space="0"/>
              <w:right w:val="single" w:color="auto" w:sz="4" w:space="0"/>
            </w:tcBorders>
            <w:shd w:val="clear" w:color="auto" w:fill="auto"/>
            <w:vAlign w:val="center"/>
          </w:tcPr>
          <w:p>
            <w:pPr>
              <w:pStyle w:val="36"/>
            </w:pPr>
            <w:r>
              <w:t>0</w:t>
            </w:r>
          </w:p>
        </w:tc>
        <w:tc>
          <w:tcPr>
            <w:tcW w:w="1089" w:type="dxa"/>
            <w:tcBorders>
              <w:top w:val="nil"/>
              <w:left w:val="nil"/>
              <w:bottom w:val="single" w:color="auto" w:sz="4" w:space="0"/>
              <w:right w:val="single" w:color="auto" w:sz="4" w:space="0"/>
            </w:tcBorders>
            <w:shd w:val="clear" w:color="auto" w:fill="auto"/>
            <w:vAlign w:val="center"/>
          </w:tcPr>
          <w:p>
            <w:pPr>
              <w:pStyle w:val="36"/>
            </w:pPr>
            <w:r>
              <w:t>0</w:t>
            </w:r>
          </w:p>
        </w:tc>
      </w:tr>
      <w:tr>
        <w:tblPrEx>
          <w:tblLayout w:type="fixed"/>
          <w:tblCellMar>
            <w:top w:w="0" w:type="dxa"/>
            <w:left w:w="108" w:type="dxa"/>
            <w:bottom w:w="0" w:type="dxa"/>
            <w:right w:w="108" w:type="dxa"/>
          </w:tblCellMar>
        </w:tblPrEx>
        <w:trPr>
          <w:trHeight w:val="454" w:hRule="atLeast"/>
          <w:jc w:val="center"/>
        </w:trPr>
        <w:tc>
          <w:tcPr>
            <w:tcW w:w="899" w:type="dxa"/>
            <w:tcBorders>
              <w:top w:val="nil"/>
              <w:left w:val="single" w:color="auto" w:sz="4" w:space="0"/>
              <w:bottom w:val="single" w:color="auto" w:sz="4" w:space="0"/>
              <w:right w:val="single" w:color="auto" w:sz="4" w:space="0"/>
            </w:tcBorders>
            <w:shd w:val="clear" w:color="auto" w:fill="auto"/>
            <w:vAlign w:val="center"/>
          </w:tcPr>
          <w:p>
            <w:pPr>
              <w:pStyle w:val="36"/>
            </w:pPr>
            <w:r>
              <w:t>3</w:t>
            </w:r>
          </w:p>
        </w:tc>
        <w:tc>
          <w:tcPr>
            <w:tcW w:w="1336" w:type="dxa"/>
            <w:tcBorders>
              <w:top w:val="nil"/>
              <w:left w:val="nil"/>
              <w:bottom w:val="single" w:color="auto" w:sz="4" w:space="0"/>
              <w:right w:val="single" w:color="auto" w:sz="4" w:space="0"/>
            </w:tcBorders>
            <w:shd w:val="clear" w:color="auto" w:fill="auto"/>
            <w:vAlign w:val="center"/>
          </w:tcPr>
          <w:p>
            <w:pPr>
              <w:pStyle w:val="36"/>
            </w:pPr>
            <w:r>
              <w:rPr>
                <w:rFonts w:hint="eastAsia"/>
              </w:rPr>
              <w:t>汉中市</w:t>
            </w:r>
          </w:p>
        </w:tc>
        <w:tc>
          <w:tcPr>
            <w:tcW w:w="1134" w:type="dxa"/>
            <w:tcBorders>
              <w:top w:val="nil"/>
              <w:left w:val="nil"/>
              <w:bottom w:val="single" w:color="auto" w:sz="4" w:space="0"/>
              <w:right w:val="single" w:color="auto" w:sz="4" w:space="0"/>
            </w:tcBorders>
            <w:shd w:val="clear" w:color="auto" w:fill="auto"/>
            <w:vAlign w:val="center"/>
          </w:tcPr>
          <w:p>
            <w:pPr>
              <w:pStyle w:val="36"/>
            </w:pPr>
            <w:r>
              <w:t>0</w:t>
            </w:r>
          </w:p>
        </w:tc>
        <w:tc>
          <w:tcPr>
            <w:tcW w:w="1845" w:type="dxa"/>
            <w:tcBorders>
              <w:top w:val="nil"/>
              <w:left w:val="nil"/>
              <w:bottom w:val="single" w:color="auto" w:sz="4" w:space="0"/>
              <w:right w:val="single" w:color="auto" w:sz="4" w:space="0"/>
            </w:tcBorders>
            <w:shd w:val="clear" w:color="auto" w:fill="auto"/>
            <w:vAlign w:val="center"/>
          </w:tcPr>
          <w:p>
            <w:pPr>
              <w:pStyle w:val="36"/>
            </w:pPr>
            <w:r>
              <w:t>0</w:t>
            </w:r>
          </w:p>
        </w:tc>
        <w:tc>
          <w:tcPr>
            <w:tcW w:w="1983" w:type="dxa"/>
            <w:tcBorders>
              <w:top w:val="nil"/>
              <w:left w:val="nil"/>
              <w:bottom w:val="single" w:color="auto" w:sz="4" w:space="0"/>
              <w:right w:val="single" w:color="auto" w:sz="4" w:space="0"/>
            </w:tcBorders>
            <w:shd w:val="clear" w:color="auto" w:fill="auto"/>
            <w:vAlign w:val="center"/>
          </w:tcPr>
          <w:p>
            <w:pPr>
              <w:pStyle w:val="36"/>
            </w:pPr>
            <w:r>
              <w:t>0</w:t>
            </w:r>
          </w:p>
        </w:tc>
        <w:tc>
          <w:tcPr>
            <w:tcW w:w="1089" w:type="dxa"/>
            <w:tcBorders>
              <w:top w:val="nil"/>
              <w:left w:val="nil"/>
              <w:bottom w:val="single" w:color="auto" w:sz="4" w:space="0"/>
              <w:right w:val="single" w:color="auto" w:sz="4" w:space="0"/>
            </w:tcBorders>
            <w:shd w:val="clear" w:color="auto" w:fill="auto"/>
            <w:vAlign w:val="center"/>
          </w:tcPr>
          <w:p>
            <w:pPr>
              <w:pStyle w:val="36"/>
            </w:pPr>
            <w:r>
              <w:t>0</w:t>
            </w:r>
          </w:p>
        </w:tc>
      </w:tr>
      <w:tr>
        <w:tblPrEx>
          <w:tblLayout w:type="fixed"/>
          <w:tblCellMar>
            <w:top w:w="0" w:type="dxa"/>
            <w:left w:w="108" w:type="dxa"/>
            <w:bottom w:w="0" w:type="dxa"/>
            <w:right w:w="108" w:type="dxa"/>
          </w:tblCellMar>
        </w:tblPrEx>
        <w:trPr>
          <w:trHeight w:val="454" w:hRule="atLeast"/>
          <w:jc w:val="center"/>
        </w:trPr>
        <w:tc>
          <w:tcPr>
            <w:tcW w:w="899" w:type="dxa"/>
            <w:tcBorders>
              <w:top w:val="nil"/>
              <w:left w:val="single" w:color="auto" w:sz="4" w:space="0"/>
              <w:bottom w:val="single" w:color="auto" w:sz="4" w:space="0"/>
              <w:right w:val="single" w:color="auto" w:sz="4" w:space="0"/>
            </w:tcBorders>
            <w:shd w:val="clear" w:color="auto" w:fill="auto"/>
            <w:vAlign w:val="center"/>
          </w:tcPr>
          <w:p>
            <w:pPr>
              <w:pStyle w:val="36"/>
            </w:pPr>
            <w:r>
              <w:t>8</w:t>
            </w:r>
          </w:p>
        </w:tc>
        <w:tc>
          <w:tcPr>
            <w:tcW w:w="1336" w:type="dxa"/>
            <w:tcBorders>
              <w:top w:val="nil"/>
              <w:left w:val="nil"/>
              <w:bottom w:val="single" w:color="auto" w:sz="4" w:space="0"/>
              <w:right w:val="single" w:color="auto" w:sz="4" w:space="0"/>
            </w:tcBorders>
            <w:shd w:val="clear" w:color="auto" w:fill="auto"/>
            <w:vAlign w:val="center"/>
          </w:tcPr>
          <w:p>
            <w:pPr>
              <w:pStyle w:val="36"/>
            </w:pPr>
            <w:r>
              <w:rPr>
                <w:rFonts w:hint="eastAsia"/>
              </w:rPr>
              <w:t>小计</w:t>
            </w:r>
          </w:p>
        </w:tc>
        <w:tc>
          <w:tcPr>
            <w:tcW w:w="1134" w:type="dxa"/>
            <w:tcBorders>
              <w:top w:val="nil"/>
              <w:left w:val="nil"/>
              <w:bottom w:val="single" w:color="auto" w:sz="4" w:space="0"/>
              <w:right w:val="single" w:color="auto" w:sz="4" w:space="0"/>
            </w:tcBorders>
            <w:shd w:val="clear" w:color="auto" w:fill="auto"/>
            <w:vAlign w:val="center"/>
          </w:tcPr>
          <w:p>
            <w:pPr>
              <w:pStyle w:val="36"/>
            </w:pPr>
            <w:r>
              <w:t>0</w:t>
            </w:r>
          </w:p>
        </w:tc>
        <w:tc>
          <w:tcPr>
            <w:tcW w:w="1845" w:type="dxa"/>
            <w:tcBorders>
              <w:top w:val="nil"/>
              <w:left w:val="nil"/>
              <w:bottom w:val="single" w:color="auto" w:sz="4" w:space="0"/>
              <w:right w:val="single" w:color="auto" w:sz="4" w:space="0"/>
            </w:tcBorders>
            <w:shd w:val="clear" w:color="auto" w:fill="auto"/>
            <w:vAlign w:val="center"/>
          </w:tcPr>
          <w:p>
            <w:pPr>
              <w:pStyle w:val="36"/>
            </w:pPr>
            <w:r>
              <w:t>0</w:t>
            </w:r>
          </w:p>
        </w:tc>
        <w:tc>
          <w:tcPr>
            <w:tcW w:w="1983" w:type="dxa"/>
            <w:tcBorders>
              <w:top w:val="nil"/>
              <w:left w:val="nil"/>
              <w:bottom w:val="single" w:color="auto" w:sz="4" w:space="0"/>
              <w:right w:val="single" w:color="auto" w:sz="4" w:space="0"/>
            </w:tcBorders>
            <w:shd w:val="clear" w:color="auto" w:fill="auto"/>
            <w:vAlign w:val="center"/>
          </w:tcPr>
          <w:p>
            <w:pPr>
              <w:pStyle w:val="36"/>
            </w:pPr>
            <w:r>
              <w:t>890</w:t>
            </w:r>
          </w:p>
        </w:tc>
        <w:tc>
          <w:tcPr>
            <w:tcW w:w="1089" w:type="dxa"/>
            <w:tcBorders>
              <w:top w:val="nil"/>
              <w:left w:val="nil"/>
              <w:bottom w:val="single" w:color="auto" w:sz="4" w:space="0"/>
              <w:right w:val="single" w:color="auto" w:sz="4" w:space="0"/>
            </w:tcBorders>
            <w:shd w:val="clear" w:color="auto" w:fill="auto"/>
            <w:vAlign w:val="center"/>
          </w:tcPr>
          <w:p>
            <w:pPr>
              <w:pStyle w:val="36"/>
            </w:pPr>
            <w:r>
              <w:t>890</w:t>
            </w:r>
          </w:p>
        </w:tc>
      </w:tr>
      <w:tr>
        <w:tblPrEx>
          <w:tblLayout w:type="fixed"/>
          <w:tblCellMar>
            <w:top w:w="0" w:type="dxa"/>
            <w:left w:w="108" w:type="dxa"/>
            <w:bottom w:w="0" w:type="dxa"/>
            <w:right w:w="108" w:type="dxa"/>
          </w:tblCellMar>
        </w:tblPrEx>
        <w:trPr>
          <w:trHeight w:val="454" w:hRule="atLeast"/>
          <w:jc w:val="center"/>
        </w:trPr>
        <w:tc>
          <w:tcPr>
            <w:tcW w:w="899" w:type="dxa"/>
            <w:tcBorders>
              <w:top w:val="nil"/>
              <w:left w:val="single" w:color="auto" w:sz="4" w:space="0"/>
              <w:bottom w:val="single" w:color="auto" w:sz="4" w:space="0"/>
              <w:right w:val="single" w:color="auto" w:sz="4" w:space="0"/>
            </w:tcBorders>
            <w:shd w:val="clear" w:color="auto" w:fill="auto"/>
            <w:vAlign w:val="center"/>
          </w:tcPr>
          <w:p>
            <w:pPr>
              <w:pStyle w:val="36"/>
            </w:pPr>
            <w:r>
              <w:rPr>
                <w:rFonts w:hint="eastAsia"/>
              </w:rPr>
              <w:t>四</w:t>
            </w:r>
          </w:p>
        </w:tc>
        <w:tc>
          <w:tcPr>
            <w:tcW w:w="1336" w:type="dxa"/>
            <w:tcBorders>
              <w:top w:val="nil"/>
              <w:left w:val="nil"/>
              <w:bottom w:val="single" w:color="auto" w:sz="4" w:space="0"/>
              <w:right w:val="single" w:color="auto" w:sz="4" w:space="0"/>
            </w:tcBorders>
            <w:shd w:val="clear" w:color="auto" w:fill="auto"/>
            <w:vAlign w:val="center"/>
          </w:tcPr>
          <w:p>
            <w:pPr>
              <w:pStyle w:val="36"/>
            </w:pPr>
            <w:r>
              <w:rPr>
                <w:rFonts w:hint="eastAsia"/>
              </w:rPr>
              <w:t>合计</w:t>
            </w:r>
          </w:p>
        </w:tc>
        <w:tc>
          <w:tcPr>
            <w:tcW w:w="1134" w:type="dxa"/>
            <w:tcBorders>
              <w:top w:val="nil"/>
              <w:left w:val="nil"/>
              <w:bottom w:val="single" w:color="auto" w:sz="4" w:space="0"/>
              <w:right w:val="single" w:color="auto" w:sz="4" w:space="0"/>
            </w:tcBorders>
            <w:shd w:val="clear" w:color="auto" w:fill="auto"/>
            <w:vAlign w:val="center"/>
          </w:tcPr>
          <w:p>
            <w:pPr>
              <w:pStyle w:val="36"/>
            </w:pPr>
            <w:r>
              <w:t>520</w:t>
            </w:r>
          </w:p>
        </w:tc>
        <w:tc>
          <w:tcPr>
            <w:tcW w:w="1845" w:type="dxa"/>
            <w:tcBorders>
              <w:top w:val="nil"/>
              <w:left w:val="nil"/>
              <w:bottom w:val="single" w:color="auto" w:sz="4" w:space="0"/>
              <w:right w:val="single" w:color="auto" w:sz="4" w:space="0"/>
            </w:tcBorders>
            <w:shd w:val="clear" w:color="auto" w:fill="auto"/>
            <w:vAlign w:val="center"/>
          </w:tcPr>
          <w:p>
            <w:pPr>
              <w:pStyle w:val="36"/>
            </w:pPr>
            <w:r>
              <w:t>1750</w:t>
            </w:r>
          </w:p>
        </w:tc>
        <w:tc>
          <w:tcPr>
            <w:tcW w:w="1983" w:type="dxa"/>
            <w:tcBorders>
              <w:top w:val="nil"/>
              <w:left w:val="nil"/>
              <w:bottom w:val="single" w:color="auto" w:sz="4" w:space="0"/>
              <w:right w:val="single" w:color="auto" w:sz="4" w:space="0"/>
            </w:tcBorders>
            <w:shd w:val="clear" w:color="auto" w:fill="auto"/>
            <w:vAlign w:val="center"/>
          </w:tcPr>
          <w:p>
            <w:pPr>
              <w:pStyle w:val="36"/>
            </w:pPr>
            <w:r>
              <w:t>7234.5</w:t>
            </w:r>
          </w:p>
        </w:tc>
        <w:tc>
          <w:tcPr>
            <w:tcW w:w="1089" w:type="dxa"/>
            <w:tcBorders>
              <w:top w:val="nil"/>
              <w:left w:val="nil"/>
              <w:bottom w:val="single" w:color="auto" w:sz="4" w:space="0"/>
              <w:right w:val="single" w:color="auto" w:sz="4" w:space="0"/>
            </w:tcBorders>
            <w:shd w:val="clear" w:color="auto" w:fill="auto"/>
            <w:vAlign w:val="center"/>
          </w:tcPr>
          <w:p>
            <w:pPr>
              <w:pStyle w:val="36"/>
            </w:pPr>
            <w:r>
              <w:t>9504.5</w:t>
            </w:r>
          </w:p>
        </w:tc>
      </w:tr>
    </w:tbl>
    <w:p>
      <w:pPr>
        <w:pStyle w:val="128"/>
      </w:pPr>
    </w:p>
    <w:p>
      <w:pPr>
        <w:pStyle w:val="126"/>
      </w:pPr>
      <w:r>
        <w:rPr>
          <w:rFonts w:hint="eastAsia"/>
        </w:rPr>
        <w:t>太阳能开发利用模式</w:t>
      </w:r>
    </w:p>
    <w:p>
      <w:pPr>
        <w:pStyle w:val="128"/>
      </w:pPr>
      <w:r>
        <w:rPr>
          <w:rFonts w:hint="eastAsia"/>
        </w:rPr>
        <w:t>国内目前太阳能发电模式主要有集中并网光伏</w:t>
      </w:r>
      <w:r>
        <w:t>电站</w:t>
      </w:r>
      <w:r>
        <w:rPr>
          <w:rFonts w:hint="eastAsia"/>
        </w:rPr>
        <w:t>、分布式光伏</w:t>
      </w:r>
      <w:r>
        <w:t>发电</w:t>
      </w:r>
      <w:r>
        <w:rPr>
          <w:rFonts w:hint="eastAsia"/>
        </w:rPr>
        <w:t>和太阳能热发电。</w:t>
      </w:r>
    </w:p>
    <w:p>
      <w:pPr>
        <w:pStyle w:val="128"/>
      </w:pPr>
      <w:r>
        <w:rPr>
          <w:rFonts w:hint="eastAsia"/>
        </w:rPr>
        <w:t>（1）集中并网光伏</w:t>
      </w:r>
      <w:r>
        <w:t>电站</w:t>
      </w:r>
    </w:p>
    <w:p>
      <w:pPr>
        <w:pStyle w:val="128"/>
      </w:pPr>
      <w:r>
        <w:rPr>
          <w:rFonts w:hint="eastAsia"/>
        </w:rPr>
        <w:t>大型地面光伏发电，主要选取荒漠戈壁、荒山荒坡等未利用土地建立一定规模的将太阳光直接转化为电的发电模式。光伏发电系统所生产的电力电量由所在地电网经营单位收购，以升压方式通过输电系统实现在电力系统消纳的光伏发电方式。这种模式凭借其成熟的技术、合理的上网电价以及规模效应在我国已大规模成熟发展，为国内最主要的太阳能发电模式之一。</w:t>
      </w:r>
    </w:p>
    <w:p>
      <w:pPr>
        <w:pStyle w:val="129"/>
      </w:pPr>
      <w:r>
        <w:rPr>
          <w:rFonts w:hint="eastAsia"/>
        </w:rPr>
        <w:drawing>
          <wp:inline distT="0" distB="0" distL="0" distR="0">
            <wp:extent cx="2961005" cy="1259205"/>
            <wp:effectExtent l="0" t="0" r="0" b="0"/>
            <wp:docPr id="25" name="图片 9" descr="ALIM4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 descr="ALIM4745"/>
                    <pic:cNvPicPr>
                      <a:picLocks noChangeAspect="1" noChangeArrowheads="1"/>
                    </pic:cNvPicPr>
                  </pic:nvPicPr>
                  <pic:blipFill>
                    <a:blip r:embed="rId41" cstate="print"/>
                    <a:srcRect/>
                    <a:stretch>
                      <a:fillRect/>
                    </a:stretch>
                  </pic:blipFill>
                  <pic:spPr>
                    <a:xfrm>
                      <a:off x="0" y="0"/>
                      <a:ext cx="2961962" cy="1260000"/>
                    </a:xfrm>
                    <a:prstGeom prst="rect">
                      <a:avLst/>
                    </a:prstGeom>
                    <a:noFill/>
                    <a:ln>
                      <a:noFill/>
                    </a:ln>
                  </pic:spPr>
                </pic:pic>
              </a:graphicData>
            </a:graphic>
          </wp:inline>
        </w:drawing>
      </w:r>
      <w:r>
        <w:drawing>
          <wp:inline distT="0" distB="0" distL="0" distR="0">
            <wp:extent cx="2105025" cy="1259840"/>
            <wp:effectExtent l="0" t="0" r="0" b="0"/>
            <wp:docPr id="241" name="图片 241" descr="E:\理念图\光伏电站建设效果图\山地光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E:\理念图\光伏电站建设效果图\山地光伏.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2105601" cy="1260000"/>
                    </a:xfrm>
                    <a:prstGeom prst="rect">
                      <a:avLst/>
                    </a:prstGeom>
                    <a:noFill/>
                    <a:ln>
                      <a:noFill/>
                    </a:ln>
                  </pic:spPr>
                </pic:pic>
              </a:graphicData>
            </a:graphic>
          </wp:inline>
        </w:drawing>
      </w:r>
    </w:p>
    <w:p>
      <w:pPr>
        <w:pStyle w:val="137"/>
      </w:pPr>
      <w:r>
        <w:rPr>
          <w:rFonts w:hint="eastAsia"/>
        </w:rPr>
        <w:t>大型并网光伏电站</w:t>
      </w:r>
    </w:p>
    <w:p>
      <w:pPr>
        <w:pStyle w:val="128"/>
      </w:pPr>
      <w:r>
        <w:rPr>
          <w:rFonts w:hint="eastAsia"/>
        </w:rPr>
        <w:t>（2）分布式</w:t>
      </w:r>
      <w:r>
        <w:t>光伏发电</w:t>
      </w:r>
    </w:p>
    <w:p>
      <w:pPr>
        <w:pStyle w:val="128"/>
      </w:pPr>
      <w:r>
        <w:rPr>
          <w:rFonts w:hint="eastAsia"/>
        </w:rPr>
        <w:t>分布式光伏发电特指在用户场地附近建设，运行方式以用户侧自发自用、多余电量上网，且在配电系统平衡调节为特征的光伏发电设施。它是一种新型的、具有广阔发展前景的发电和能源综合利用方式，它倡导就近发电，就近并网，就近转换，就近使用的原则，不仅能够有效提高同等规模光伏电站的发电量，同时还有效解决了电力在升压及长途运输中的损耗问题。</w:t>
      </w:r>
    </w:p>
    <w:p>
      <w:pPr>
        <w:pStyle w:val="129"/>
      </w:pPr>
      <w:r>
        <w:drawing>
          <wp:inline distT="0" distB="0" distL="0" distR="0">
            <wp:extent cx="2308860" cy="1439545"/>
            <wp:effectExtent l="0" t="0" r="0" b="0"/>
            <wp:docPr id="239" name="图片 239" descr="E:\理念图\光伏电站建设效果图\建筑光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E:\理念图\光伏电站建设效果图\建筑光伏.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2309245" cy="1440000"/>
                    </a:xfrm>
                    <a:prstGeom prst="rect">
                      <a:avLst/>
                    </a:prstGeom>
                    <a:noFill/>
                    <a:ln>
                      <a:noFill/>
                    </a:ln>
                  </pic:spPr>
                </pic:pic>
              </a:graphicData>
            </a:graphic>
          </wp:inline>
        </w:drawing>
      </w:r>
      <w:r>
        <w:rPr>
          <w:rFonts w:hint="eastAsia"/>
        </w:rPr>
        <w:drawing>
          <wp:inline distT="0" distB="0" distL="0" distR="0">
            <wp:extent cx="2451100" cy="1439545"/>
            <wp:effectExtent l="0" t="0" r="0" b="0"/>
            <wp:docPr id="29" name="图片 4" descr="20120410175321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descr="201204101753213484"/>
                    <pic:cNvPicPr>
                      <a:picLocks noChangeAspect="1" noChangeArrowheads="1"/>
                    </pic:cNvPicPr>
                  </pic:nvPicPr>
                  <pic:blipFill>
                    <a:blip r:embed="rId44" cstate="print"/>
                    <a:srcRect t="14674" b="6793"/>
                    <a:stretch>
                      <a:fillRect/>
                    </a:stretch>
                  </pic:blipFill>
                  <pic:spPr>
                    <a:xfrm>
                      <a:off x="0" y="0"/>
                      <a:ext cx="2451685" cy="1440000"/>
                    </a:xfrm>
                    <a:prstGeom prst="rect">
                      <a:avLst/>
                    </a:prstGeom>
                    <a:noFill/>
                    <a:ln w="9525">
                      <a:noFill/>
                      <a:miter lim="800000"/>
                      <a:headEnd/>
                      <a:tailEnd/>
                    </a:ln>
                  </pic:spPr>
                </pic:pic>
              </a:graphicData>
            </a:graphic>
          </wp:inline>
        </w:drawing>
      </w:r>
    </w:p>
    <w:p>
      <w:pPr>
        <w:pStyle w:val="137"/>
      </w:pPr>
      <w:r>
        <w:rPr>
          <w:rFonts w:hint="eastAsia"/>
        </w:rPr>
        <w:t>分布式光伏发电</w:t>
      </w:r>
    </w:p>
    <w:p>
      <w:pPr>
        <w:pStyle w:val="128"/>
      </w:pPr>
      <w:r>
        <w:rPr>
          <w:rFonts w:hint="eastAsia"/>
        </w:rPr>
        <w:t>（3）太阳能</w:t>
      </w:r>
      <w:r>
        <w:t>热发电</w:t>
      </w:r>
    </w:p>
    <w:p>
      <w:pPr>
        <w:pStyle w:val="128"/>
      </w:pPr>
      <w:r>
        <w:rPr>
          <w:rFonts w:hint="eastAsia"/>
        </w:rPr>
        <w:t>太阳能热发电技术是利用高精度聚光器将太阳能这种低密度的稀疏能源汇聚成高密度热能，并进而转换成电能的一种太阳能利用方式，具有零污染物排放、可持续利用、电力调度方便的优点，光热目前处于发展初期，但根据其诸多优势，是光伏发电技术以外的有很大发展潜力的太阳能发电技术。</w:t>
      </w:r>
    </w:p>
    <w:p>
      <w:pPr>
        <w:pStyle w:val="129"/>
      </w:pPr>
      <w:r>
        <w:drawing>
          <wp:inline distT="0" distB="0" distL="0" distR="0">
            <wp:extent cx="1522730" cy="899795"/>
            <wp:effectExtent l="0" t="0" r="0" b="0"/>
            <wp:docPr id="2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
                    <pic:cNvPicPr>
                      <a:picLocks noChangeAspect="1" noChangeArrowheads="1"/>
                    </pic:cNvPicPr>
                  </pic:nvPicPr>
                  <pic:blipFill>
                    <a:blip r:embed="rId45" cstate="print"/>
                    <a:srcRect t="20547"/>
                    <a:stretch>
                      <a:fillRect/>
                    </a:stretch>
                  </pic:blipFill>
                  <pic:spPr>
                    <a:xfrm>
                      <a:off x="0" y="0"/>
                      <a:ext cx="1523157" cy="900000"/>
                    </a:xfrm>
                    <a:prstGeom prst="rect">
                      <a:avLst/>
                    </a:prstGeom>
                    <a:noFill/>
                    <a:ln w="9525">
                      <a:noFill/>
                      <a:miter lim="800000"/>
                      <a:headEnd/>
                      <a:tailEnd/>
                    </a:ln>
                  </pic:spPr>
                </pic:pic>
              </a:graphicData>
            </a:graphic>
          </wp:inline>
        </w:drawing>
      </w:r>
      <w:r>
        <w:drawing>
          <wp:inline distT="0" distB="0" distL="0" distR="0">
            <wp:extent cx="1729105" cy="899795"/>
            <wp:effectExtent l="0" t="0" r="0" b="0"/>
            <wp:docPr id="2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4"/>
                    <pic:cNvPicPr>
                      <a:picLocks noChangeAspect="1" noChangeArrowheads="1"/>
                    </pic:cNvPicPr>
                  </pic:nvPicPr>
                  <pic:blipFill>
                    <a:blip r:embed="rId46" cstate="print"/>
                    <a:srcRect/>
                    <a:stretch>
                      <a:fillRect/>
                    </a:stretch>
                  </pic:blipFill>
                  <pic:spPr>
                    <a:xfrm>
                      <a:off x="0" y="0"/>
                      <a:ext cx="1729343" cy="900000"/>
                    </a:xfrm>
                    <a:prstGeom prst="rect">
                      <a:avLst/>
                    </a:prstGeom>
                    <a:noFill/>
                    <a:ln w="9525">
                      <a:noFill/>
                      <a:miter lim="800000"/>
                      <a:headEnd/>
                      <a:tailEnd/>
                    </a:ln>
                  </pic:spPr>
                </pic:pic>
              </a:graphicData>
            </a:graphic>
          </wp:inline>
        </w:drawing>
      </w:r>
      <w:r>
        <w:drawing>
          <wp:inline distT="0" distB="0" distL="0" distR="0">
            <wp:extent cx="1744345" cy="899795"/>
            <wp:effectExtent l="0" t="0" r="0" b="0"/>
            <wp:docPr id="2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5"/>
                    <pic:cNvPicPr>
                      <a:picLocks noChangeAspect="1" noChangeArrowheads="1"/>
                    </pic:cNvPicPr>
                  </pic:nvPicPr>
                  <pic:blipFill>
                    <a:blip r:embed="rId47" cstate="print"/>
                    <a:srcRect/>
                    <a:stretch>
                      <a:fillRect/>
                    </a:stretch>
                  </pic:blipFill>
                  <pic:spPr>
                    <a:xfrm>
                      <a:off x="0" y="0"/>
                      <a:ext cx="1744357" cy="900000"/>
                    </a:xfrm>
                    <a:prstGeom prst="rect">
                      <a:avLst/>
                    </a:prstGeom>
                    <a:noFill/>
                    <a:ln w="9525">
                      <a:noFill/>
                      <a:miter lim="800000"/>
                      <a:headEnd/>
                      <a:tailEnd/>
                    </a:ln>
                  </pic:spPr>
                </pic:pic>
              </a:graphicData>
            </a:graphic>
          </wp:inline>
        </w:drawing>
      </w:r>
    </w:p>
    <w:p>
      <w:pPr>
        <w:pStyle w:val="137"/>
      </w:pPr>
      <w:r>
        <w:rPr>
          <w:rFonts w:hint="eastAsia"/>
        </w:rPr>
        <w:t>太阳能热发电站</w:t>
      </w:r>
      <w:r>
        <w:t>（</w:t>
      </w:r>
      <w:r>
        <w:rPr>
          <w:rFonts w:hint="eastAsia"/>
        </w:rPr>
        <w:t>槽式</w:t>
      </w:r>
      <w:r>
        <w:t>、塔式、碟式）</w:t>
      </w:r>
    </w:p>
    <w:p>
      <w:pPr>
        <w:pStyle w:val="128"/>
      </w:pPr>
      <w:r>
        <w:rPr>
          <w:rFonts w:hint="eastAsia"/>
        </w:rPr>
        <w:t>（4）微网光伏系统</w:t>
      </w:r>
    </w:p>
    <w:p>
      <w:pPr>
        <w:widowControl/>
        <w:shd w:val="clear" w:color="auto" w:fill="FFFFFF"/>
        <w:snapToGrid w:val="0"/>
        <w:ind w:firstLine="420"/>
        <w:rPr>
          <w:rFonts w:ascii="Arial" w:hAnsi="Arial" w:cs="Arial"/>
          <w:kern w:val="0"/>
        </w:rPr>
      </w:pPr>
      <w:r>
        <w:rPr>
          <w:rFonts w:hint="eastAsia"/>
        </w:rPr>
        <w:t>微网光伏系统</w:t>
      </w:r>
      <w:r>
        <w:rPr>
          <w:rFonts w:hint="eastAsia" w:ascii="Arial" w:hAnsi="Arial" w:cs="Arial"/>
          <w:kern w:val="0"/>
        </w:rPr>
        <w:t>是以分布式光伏发电技术为基础，利用分布式光伏发电系统来形成孤立的电网或者独立的微电网来为偏远地区的居民或者商业用户供电。</w:t>
      </w:r>
    </w:p>
    <w:p>
      <w:pPr>
        <w:pStyle w:val="128"/>
      </w:pPr>
      <w:r>
        <w:rPr>
          <w:rFonts w:hint="eastAsia"/>
        </w:rPr>
        <w:t>微网是智能电网的重要组成部分，能实现内部电源和负荷的一体化运行，并通过和主电网的协调控制，可平滑接入主网或独立自治运行，充分满足用户对电能质量、供电可靠性和安全性的要求。</w:t>
      </w:r>
    </w:p>
    <w:p>
      <w:pPr>
        <w:pStyle w:val="129"/>
      </w:pPr>
      <w:r>
        <w:rPr>
          <w:rFonts w:hint="eastAsia"/>
        </w:rPr>
        <w:drawing>
          <wp:inline distT="0" distB="0" distL="0" distR="0">
            <wp:extent cx="4565015" cy="2331720"/>
            <wp:effectExtent l="0" t="0" r="0" b="0"/>
            <wp:docPr id="237" name="图片 24" descr="15125K0W-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4" descr="15125K0W-0"/>
                    <pic:cNvPicPr>
                      <a:picLocks noChangeAspect="1" noChangeArrowheads="1"/>
                    </pic:cNvPicPr>
                  </pic:nvPicPr>
                  <pic:blipFill>
                    <a:blip r:embed="rId48" cstate="print"/>
                    <a:srcRect/>
                    <a:stretch>
                      <a:fillRect/>
                    </a:stretch>
                  </pic:blipFill>
                  <pic:spPr>
                    <a:xfrm>
                      <a:off x="0" y="0"/>
                      <a:ext cx="4592762" cy="2346122"/>
                    </a:xfrm>
                    <a:prstGeom prst="rect">
                      <a:avLst/>
                    </a:prstGeom>
                    <a:noFill/>
                    <a:ln w="9525">
                      <a:noFill/>
                      <a:miter lim="800000"/>
                      <a:headEnd/>
                      <a:tailEnd/>
                    </a:ln>
                  </pic:spPr>
                </pic:pic>
              </a:graphicData>
            </a:graphic>
          </wp:inline>
        </w:drawing>
      </w:r>
    </w:p>
    <w:p>
      <w:pPr>
        <w:pStyle w:val="137"/>
      </w:pPr>
      <w:r>
        <w:rPr>
          <w:rFonts w:hint="eastAsia"/>
        </w:rPr>
        <w:t>微网光伏（带储能）系统框图</w:t>
      </w:r>
    </w:p>
    <w:p>
      <w:pPr>
        <w:pStyle w:val="126"/>
      </w:pPr>
      <w:r>
        <w:rPr>
          <w:rFonts w:hint="eastAsia"/>
        </w:rPr>
        <w:t>光伏</w:t>
      </w:r>
      <w:r>
        <w:t>产业发展概况</w:t>
      </w:r>
    </w:p>
    <w:p>
      <w:pPr>
        <w:pStyle w:val="128"/>
      </w:pPr>
      <w:r>
        <w:rPr>
          <w:rFonts w:hint="eastAsia"/>
        </w:rPr>
        <w:t>光伏产业是指通过各种技术和工艺环节生产出太阳能电池，并将太阳能电池经过串并联后封装保护形成大面积的电池组件，再配合功率控制器等，形成发电装置的产业链，是半导体技术与清洁能源需求相结合产生的朝阳产业，也是我国战略性新兴产业的重要组成部分。近年来，我国光伏产业充分利用自身技术基础和产业配套优势快速发展，逐步取得国际竞争优势并不断巩固，目前已形成了从高纯硅材料、硅锭/硅棒/硅片、电池片/组件系统集成和光伏产品应用等完整的产业链，产业规模迅速壮大。</w:t>
      </w:r>
    </w:p>
    <w:p>
      <w:pPr>
        <w:pStyle w:val="127"/>
      </w:pPr>
      <w:r>
        <w:rPr>
          <w:rFonts w:hint="eastAsia"/>
        </w:rPr>
        <w:t>世界光伏</w:t>
      </w:r>
      <w:r>
        <w:t>产业发展概况</w:t>
      </w:r>
    </w:p>
    <w:p>
      <w:pPr>
        <w:pStyle w:val="128"/>
      </w:pPr>
      <w:r>
        <w:rPr>
          <w:rFonts w:hint="eastAsia"/>
        </w:rPr>
        <w:t>（1）产业</w:t>
      </w:r>
      <w:r>
        <w:t>规模持续扩大</w:t>
      </w:r>
    </w:p>
    <w:p>
      <w:pPr>
        <w:pStyle w:val="128"/>
      </w:pPr>
      <w:r>
        <w:rPr>
          <w:rFonts w:hint="eastAsia"/>
        </w:rPr>
        <w:t>根据《2015</w:t>
      </w:r>
      <w:r>
        <w:t>-2016</w:t>
      </w:r>
      <w:r>
        <w:rPr>
          <w:rFonts w:hint="eastAsia"/>
        </w:rPr>
        <w:t>中国</w:t>
      </w:r>
      <w:r>
        <w:t>光伏产业年度报告</w:t>
      </w:r>
      <w:r>
        <w:rPr>
          <w:rFonts w:hint="eastAsia"/>
        </w:rPr>
        <w:t>》</w:t>
      </w:r>
      <w:r>
        <w:t>，在光伏应用市场</w:t>
      </w:r>
      <w:r>
        <w:rPr>
          <w:rFonts w:hint="eastAsia"/>
        </w:rPr>
        <w:t>快速</w:t>
      </w:r>
      <w:r>
        <w:t>增长的带动下，</w:t>
      </w:r>
      <w:r>
        <w:rPr>
          <w:rFonts w:hint="eastAsia"/>
        </w:rPr>
        <w:t>2015年</w:t>
      </w:r>
      <w:r>
        <w:t>全球各类光伏产品生产规模与产量继续增长，全面走出行业低谷。多晶硅方面</w:t>
      </w:r>
      <w:r>
        <w:rPr>
          <w:rFonts w:hint="eastAsia"/>
        </w:rPr>
        <w:t>，</w:t>
      </w:r>
      <w:r>
        <w:t>全球产能达到</w:t>
      </w:r>
      <w:r>
        <w:rPr>
          <w:rFonts w:hint="eastAsia"/>
        </w:rPr>
        <w:t>47万吨</w:t>
      </w:r>
      <w:r>
        <w:t>，产量</w:t>
      </w:r>
      <w:r>
        <w:rPr>
          <w:rFonts w:hint="eastAsia"/>
        </w:rPr>
        <w:t>34.5万吨</w:t>
      </w:r>
      <w:r>
        <w:t>，同比增长</w:t>
      </w:r>
      <w:r>
        <w:rPr>
          <w:rFonts w:hint="eastAsia"/>
        </w:rPr>
        <w:t>14.2</w:t>
      </w:r>
      <w:r>
        <w:t>%，其中我国产量</w:t>
      </w:r>
      <w:r>
        <w:rPr>
          <w:rFonts w:hint="eastAsia"/>
        </w:rPr>
        <w:t>16.5万吨</w:t>
      </w:r>
      <w:r>
        <w:t>，同比增长</w:t>
      </w:r>
      <w:r>
        <w:rPr>
          <w:rFonts w:hint="eastAsia"/>
        </w:rPr>
        <w:t>21.3</w:t>
      </w:r>
      <w:r>
        <w:t>%，连续五年居全球首位。</w:t>
      </w:r>
      <w:r>
        <w:rPr>
          <w:rFonts w:hint="eastAsia"/>
        </w:rPr>
        <w:t>硅片方面</w:t>
      </w:r>
      <w:r>
        <w:t>，全球产能约</w:t>
      </w:r>
      <w:r>
        <w:rPr>
          <w:rFonts w:hint="eastAsia"/>
        </w:rPr>
        <w:t>84</w:t>
      </w:r>
      <w:r>
        <w:t>GW</w:t>
      </w:r>
      <w:r>
        <w:rPr>
          <w:rFonts w:hint="eastAsia"/>
        </w:rPr>
        <w:t>，</w:t>
      </w:r>
      <w:r>
        <w:t>产量约为60.3GW</w:t>
      </w:r>
      <w:r>
        <w:rPr>
          <w:rFonts w:hint="eastAsia"/>
        </w:rPr>
        <w:t>，同比增长20.6</w:t>
      </w:r>
      <w:r>
        <w:t>%，我国硅片产能约</w:t>
      </w:r>
      <w:r>
        <w:rPr>
          <w:rFonts w:hint="eastAsia"/>
        </w:rPr>
        <w:t>64.3</w:t>
      </w:r>
      <w:r>
        <w:t>GW</w:t>
      </w:r>
      <w:r>
        <w:rPr>
          <w:rFonts w:hint="eastAsia"/>
        </w:rPr>
        <w:t>，</w:t>
      </w:r>
      <w:r>
        <w:t>产量约为</w:t>
      </w:r>
      <w:r>
        <w:rPr>
          <w:rFonts w:hint="eastAsia"/>
        </w:rPr>
        <w:t>48</w:t>
      </w:r>
      <w:r>
        <w:t>GW</w:t>
      </w:r>
      <w:r>
        <w:rPr>
          <w:rFonts w:hint="eastAsia"/>
        </w:rPr>
        <w:t>，</w:t>
      </w:r>
      <w:r>
        <w:t>占世界总产量的</w:t>
      </w:r>
      <w:r>
        <w:rPr>
          <w:rFonts w:hint="eastAsia"/>
        </w:rPr>
        <w:t>79.6</w:t>
      </w:r>
      <w:r>
        <w:t>%。电池片</w:t>
      </w:r>
      <w:r>
        <w:rPr>
          <w:rFonts w:hint="eastAsia"/>
        </w:rPr>
        <w:t>方面，</w:t>
      </w:r>
      <w:r>
        <w:t>全球产能约为</w:t>
      </w:r>
      <w:r>
        <w:rPr>
          <w:rFonts w:hint="eastAsia"/>
        </w:rPr>
        <w:t>79.2</w:t>
      </w:r>
      <w:r>
        <w:t>GW</w:t>
      </w:r>
      <w:r>
        <w:rPr>
          <w:rFonts w:hint="eastAsia"/>
        </w:rPr>
        <w:t>，</w:t>
      </w:r>
      <w:r>
        <w:t>产量约为</w:t>
      </w:r>
      <w:r>
        <w:rPr>
          <w:rFonts w:hint="eastAsia"/>
        </w:rPr>
        <w:t>62.1</w:t>
      </w:r>
      <w:r>
        <w:t>GW</w:t>
      </w:r>
      <w:r>
        <w:rPr>
          <w:rFonts w:hint="eastAsia"/>
        </w:rPr>
        <w:t>，</w:t>
      </w:r>
      <w:r>
        <w:t>同比增长</w:t>
      </w:r>
      <w:r>
        <w:rPr>
          <w:rFonts w:hint="eastAsia"/>
        </w:rPr>
        <w:t>23.5</w:t>
      </w:r>
      <w:r>
        <w:t>%，我国产能约为</w:t>
      </w:r>
      <w:r>
        <w:rPr>
          <w:rFonts w:hint="eastAsia"/>
        </w:rPr>
        <w:t>53</w:t>
      </w:r>
      <w:r>
        <w:t>GW</w:t>
      </w:r>
      <w:r>
        <w:rPr>
          <w:rFonts w:hint="eastAsia"/>
        </w:rPr>
        <w:t>，</w:t>
      </w:r>
      <w:r>
        <w:t>产量约为</w:t>
      </w:r>
      <w:r>
        <w:rPr>
          <w:rFonts w:hint="eastAsia"/>
        </w:rPr>
        <w:t>41</w:t>
      </w:r>
      <w:r>
        <w:t>GW</w:t>
      </w:r>
      <w:r>
        <w:rPr>
          <w:rFonts w:hint="eastAsia"/>
        </w:rPr>
        <w:t>，</w:t>
      </w:r>
      <w:r>
        <w:t>占世界总产量的</w:t>
      </w:r>
      <w:r>
        <w:rPr>
          <w:rFonts w:hint="eastAsia"/>
        </w:rPr>
        <w:t>66</w:t>
      </w:r>
      <w:r>
        <w:t>%。</w:t>
      </w:r>
      <w:r>
        <w:rPr>
          <w:rFonts w:hint="eastAsia"/>
        </w:rPr>
        <w:t>组件方面</w:t>
      </w:r>
      <w:r>
        <w:t>，全球光伏组件产能达到</w:t>
      </w:r>
      <w:r>
        <w:rPr>
          <w:rFonts w:hint="eastAsia"/>
        </w:rPr>
        <w:t>99.8</w:t>
      </w:r>
      <w:r>
        <w:t>GW</w:t>
      </w:r>
      <w:r>
        <w:rPr>
          <w:rFonts w:hint="eastAsia"/>
        </w:rPr>
        <w:t>，</w:t>
      </w:r>
      <w:r>
        <w:t>产量达到</w:t>
      </w:r>
      <w:r>
        <w:rPr>
          <w:rFonts w:hint="eastAsia"/>
        </w:rPr>
        <w:t>63.5</w:t>
      </w:r>
      <w:r>
        <w:t>GW</w:t>
      </w:r>
      <w:r>
        <w:rPr>
          <w:rFonts w:hint="eastAsia"/>
        </w:rPr>
        <w:t>，</w:t>
      </w:r>
      <w:r>
        <w:t>我国依然是太阳能电池组件的最大生产国，产量达到</w:t>
      </w:r>
      <w:r>
        <w:rPr>
          <w:rFonts w:hint="eastAsia"/>
        </w:rPr>
        <w:t>45.8</w:t>
      </w:r>
      <w:r>
        <w:t>GW</w:t>
      </w:r>
      <w:r>
        <w:rPr>
          <w:rFonts w:hint="eastAsia"/>
        </w:rPr>
        <w:t>，</w:t>
      </w:r>
      <w:r>
        <w:t>占世界总产量的</w:t>
      </w:r>
      <w:r>
        <w:rPr>
          <w:rFonts w:hint="eastAsia"/>
        </w:rPr>
        <w:t>72</w:t>
      </w:r>
      <w:r>
        <w:t>%。</w:t>
      </w:r>
    </w:p>
    <w:p>
      <w:pPr>
        <w:pStyle w:val="128"/>
      </w:pPr>
      <w:r>
        <w:rPr>
          <w:rFonts w:hint="eastAsia"/>
        </w:rPr>
        <w:t>（2）产品</w:t>
      </w:r>
      <w:r>
        <w:t>价格小幅下调</w:t>
      </w:r>
    </w:p>
    <w:p>
      <w:pPr>
        <w:pStyle w:val="128"/>
      </w:pPr>
      <w:r>
        <w:rPr>
          <w:rFonts w:hint="eastAsia"/>
        </w:rPr>
        <w:t>2015年</w:t>
      </w:r>
      <w:r>
        <w:t>，随着全球光伏企业产能的逐步释放以及生产成本的逐步下降，光伏产品价格继续下探，其中多晶硅价格降幅较大。</w:t>
      </w:r>
      <w:r>
        <w:rPr>
          <w:rFonts w:hint="eastAsia"/>
        </w:rPr>
        <w:t>2</w:t>
      </w:r>
      <w:r>
        <w:t>015</w:t>
      </w:r>
      <w:r>
        <w:rPr>
          <w:rFonts w:hint="eastAsia"/>
        </w:rPr>
        <w:t>年1月</w:t>
      </w:r>
      <w:r>
        <w:t>至</w:t>
      </w:r>
      <w:r>
        <w:rPr>
          <w:rFonts w:hint="eastAsia"/>
        </w:rPr>
        <w:t>12月</w:t>
      </w:r>
      <w:r>
        <w:t>，多晶硅、硅片、电池片和组件的价格分别下降了</w:t>
      </w:r>
      <w:r>
        <w:rPr>
          <w:rFonts w:hint="eastAsia"/>
        </w:rPr>
        <w:t>23.3</w:t>
      </w:r>
      <w:r>
        <w:t>%、2.1%、0.5%和</w:t>
      </w:r>
      <w:r>
        <w:rPr>
          <w:rFonts w:hint="eastAsia"/>
        </w:rPr>
        <w:t>9.6</w:t>
      </w:r>
      <w:r>
        <w:t>%</w:t>
      </w:r>
      <w:r>
        <w:rPr>
          <w:rFonts w:hint="eastAsia"/>
        </w:rPr>
        <w:t>。</w:t>
      </w:r>
    </w:p>
    <w:p>
      <w:pPr>
        <w:pStyle w:val="132"/>
        <w:numPr>
          <w:ilvl w:val="0"/>
          <w:numId w:val="13"/>
        </w:numPr>
      </w:pPr>
      <w:r>
        <w:rPr>
          <w:rFonts w:hint="eastAsia"/>
        </w:rPr>
        <w:t>2015年</w:t>
      </w:r>
      <w:r>
        <w:t>光伏产品价格变化情况（</w:t>
      </w:r>
      <w:r>
        <w:rPr>
          <w:rFonts w:hint="eastAsia"/>
        </w:rPr>
        <w:t>单位</w:t>
      </w:r>
      <w:r>
        <w:t>：美元）</w:t>
      </w:r>
    </w:p>
    <w:tbl>
      <w:tblPr>
        <w:tblStyle w:val="4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704"/>
        <w:gridCol w:w="1704"/>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trPr>
        <w:tc>
          <w:tcPr>
            <w:tcW w:w="1704" w:type="dxa"/>
            <w:vAlign w:val="center"/>
          </w:tcPr>
          <w:p>
            <w:pPr>
              <w:pStyle w:val="36"/>
            </w:pPr>
            <w:r>
              <w:rPr>
                <w:rFonts w:hint="eastAsia"/>
              </w:rPr>
              <w:t>时间</w:t>
            </w:r>
          </w:p>
        </w:tc>
        <w:tc>
          <w:tcPr>
            <w:tcW w:w="1704" w:type="dxa"/>
            <w:vAlign w:val="center"/>
          </w:tcPr>
          <w:p>
            <w:pPr>
              <w:pStyle w:val="36"/>
            </w:pPr>
            <w:r>
              <w:rPr>
                <w:rFonts w:hint="eastAsia"/>
              </w:rPr>
              <w:t>多晶硅/公斤</w:t>
            </w:r>
          </w:p>
        </w:tc>
        <w:tc>
          <w:tcPr>
            <w:tcW w:w="1704" w:type="dxa"/>
            <w:vAlign w:val="center"/>
          </w:tcPr>
          <w:p>
            <w:pPr>
              <w:pStyle w:val="36"/>
            </w:pPr>
            <w:r>
              <w:rPr>
                <w:rFonts w:hint="eastAsia"/>
              </w:rPr>
              <w:t>硅片/156</w:t>
            </w:r>
            <w:r>
              <w:t>*156</w:t>
            </w:r>
            <w:r>
              <w:rPr>
                <w:rFonts w:hint="eastAsia"/>
              </w:rPr>
              <w:t>多晶片</w:t>
            </w:r>
          </w:p>
        </w:tc>
        <w:tc>
          <w:tcPr>
            <w:tcW w:w="1705" w:type="dxa"/>
            <w:vAlign w:val="center"/>
          </w:tcPr>
          <w:p>
            <w:pPr>
              <w:pStyle w:val="36"/>
            </w:pPr>
            <w:r>
              <w:rPr>
                <w:rFonts w:hint="eastAsia"/>
              </w:rPr>
              <w:t>电池片</w:t>
            </w:r>
            <w:r>
              <w:t>/</w:t>
            </w:r>
            <w:r>
              <w:rPr>
                <w:rFonts w:hint="eastAsia"/>
              </w:rPr>
              <w:t>瓦</w:t>
            </w:r>
          </w:p>
        </w:tc>
        <w:tc>
          <w:tcPr>
            <w:tcW w:w="1705" w:type="dxa"/>
            <w:vAlign w:val="center"/>
          </w:tcPr>
          <w:p>
            <w:pPr>
              <w:pStyle w:val="36"/>
            </w:pPr>
            <w:r>
              <w:rPr>
                <w:rFonts w:hint="eastAsia"/>
              </w:rPr>
              <w:t>组件/瓦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4" w:type="dxa"/>
            <w:vAlign w:val="center"/>
          </w:tcPr>
          <w:p>
            <w:pPr>
              <w:pStyle w:val="36"/>
            </w:pPr>
            <w:r>
              <w:rPr>
                <w:rFonts w:hint="eastAsia"/>
              </w:rPr>
              <w:t>2015年1月</w:t>
            </w:r>
          </w:p>
        </w:tc>
        <w:tc>
          <w:tcPr>
            <w:tcW w:w="1704" w:type="dxa"/>
            <w:vAlign w:val="center"/>
          </w:tcPr>
          <w:p>
            <w:pPr>
              <w:pStyle w:val="36"/>
            </w:pPr>
            <w:r>
              <w:rPr>
                <w:rFonts w:hint="eastAsia"/>
              </w:rPr>
              <w:t>20.66</w:t>
            </w:r>
          </w:p>
        </w:tc>
        <w:tc>
          <w:tcPr>
            <w:tcW w:w="1704" w:type="dxa"/>
            <w:vAlign w:val="center"/>
          </w:tcPr>
          <w:p>
            <w:pPr>
              <w:pStyle w:val="36"/>
            </w:pPr>
            <w:r>
              <w:rPr>
                <w:rFonts w:hint="eastAsia"/>
              </w:rPr>
              <w:t>0.873</w:t>
            </w:r>
          </w:p>
        </w:tc>
        <w:tc>
          <w:tcPr>
            <w:tcW w:w="1705" w:type="dxa"/>
            <w:vAlign w:val="center"/>
          </w:tcPr>
          <w:p>
            <w:pPr>
              <w:pStyle w:val="36"/>
            </w:pPr>
            <w:r>
              <w:rPr>
                <w:rFonts w:hint="eastAsia"/>
              </w:rPr>
              <w:t>0.34</w:t>
            </w:r>
          </w:p>
        </w:tc>
        <w:tc>
          <w:tcPr>
            <w:tcW w:w="1705" w:type="dxa"/>
            <w:vAlign w:val="center"/>
          </w:tcPr>
          <w:p>
            <w:pPr>
              <w:pStyle w:val="36"/>
            </w:pPr>
            <w:r>
              <w:rPr>
                <w:rFonts w:hint="eastAsia"/>
              </w:rPr>
              <w:t>0.614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4" w:type="dxa"/>
            <w:vAlign w:val="center"/>
          </w:tcPr>
          <w:p>
            <w:pPr>
              <w:pStyle w:val="36"/>
            </w:pPr>
            <w:r>
              <w:rPr>
                <w:rFonts w:hint="eastAsia"/>
              </w:rPr>
              <w:t>2015年6月</w:t>
            </w:r>
          </w:p>
        </w:tc>
        <w:tc>
          <w:tcPr>
            <w:tcW w:w="1704" w:type="dxa"/>
            <w:vAlign w:val="center"/>
          </w:tcPr>
          <w:p>
            <w:pPr>
              <w:pStyle w:val="36"/>
            </w:pPr>
            <w:r>
              <w:rPr>
                <w:rFonts w:hint="eastAsia"/>
              </w:rPr>
              <w:t>17.15</w:t>
            </w:r>
          </w:p>
        </w:tc>
        <w:tc>
          <w:tcPr>
            <w:tcW w:w="1704" w:type="dxa"/>
            <w:vAlign w:val="center"/>
          </w:tcPr>
          <w:p>
            <w:pPr>
              <w:pStyle w:val="36"/>
            </w:pPr>
            <w:r>
              <w:rPr>
                <w:rFonts w:hint="eastAsia"/>
              </w:rPr>
              <w:t>0.8</w:t>
            </w:r>
          </w:p>
        </w:tc>
        <w:tc>
          <w:tcPr>
            <w:tcW w:w="1705" w:type="dxa"/>
            <w:vAlign w:val="center"/>
          </w:tcPr>
          <w:p>
            <w:pPr>
              <w:pStyle w:val="36"/>
            </w:pPr>
            <w:r>
              <w:rPr>
                <w:rFonts w:hint="eastAsia"/>
              </w:rPr>
              <w:t>0.301</w:t>
            </w:r>
          </w:p>
        </w:tc>
        <w:tc>
          <w:tcPr>
            <w:tcW w:w="1705" w:type="dxa"/>
            <w:vAlign w:val="center"/>
          </w:tcPr>
          <w:p>
            <w:pPr>
              <w:pStyle w:val="36"/>
            </w:pPr>
            <w:r>
              <w:rPr>
                <w:rFonts w:hint="eastAsia"/>
              </w:rPr>
              <w:t>0.548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4" w:type="dxa"/>
            <w:vAlign w:val="center"/>
          </w:tcPr>
          <w:p>
            <w:pPr>
              <w:pStyle w:val="36"/>
            </w:pPr>
            <w:r>
              <w:rPr>
                <w:rFonts w:hint="eastAsia"/>
              </w:rPr>
              <w:t>2015年12月</w:t>
            </w:r>
          </w:p>
        </w:tc>
        <w:tc>
          <w:tcPr>
            <w:tcW w:w="1704" w:type="dxa"/>
            <w:vAlign w:val="center"/>
          </w:tcPr>
          <w:p>
            <w:pPr>
              <w:pStyle w:val="36"/>
            </w:pPr>
            <w:r>
              <w:rPr>
                <w:rFonts w:hint="eastAsia"/>
              </w:rPr>
              <w:t>15.84</w:t>
            </w:r>
          </w:p>
        </w:tc>
        <w:tc>
          <w:tcPr>
            <w:tcW w:w="1704" w:type="dxa"/>
            <w:vAlign w:val="center"/>
          </w:tcPr>
          <w:p>
            <w:pPr>
              <w:pStyle w:val="36"/>
            </w:pPr>
            <w:r>
              <w:rPr>
                <w:rFonts w:hint="eastAsia"/>
              </w:rPr>
              <w:t>0.855</w:t>
            </w:r>
          </w:p>
        </w:tc>
        <w:tc>
          <w:tcPr>
            <w:tcW w:w="1705" w:type="dxa"/>
            <w:vAlign w:val="center"/>
          </w:tcPr>
          <w:p>
            <w:pPr>
              <w:pStyle w:val="36"/>
            </w:pPr>
            <w:r>
              <w:rPr>
                <w:rFonts w:hint="eastAsia"/>
              </w:rPr>
              <w:t>0.338</w:t>
            </w:r>
          </w:p>
        </w:tc>
        <w:tc>
          <w:tcPr>
            <w:tcW w:w="1705" w:type="dxa"/>
            <w:vAlign w:val="center"/>
          </w:tcPr>
          <w:p>
            <w:pPr>
              <w:pStyle w:val="36"/>
            </w:pPr>
            <w:r>
              <w:rPr>
                <w:rFonts w:hint="eastAsia"/>
              </w:rPr>
              <w:t>0.555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4" w:type="dxa"/>
            <w:vAlign w:val="center"/>
          </w:tcPr>
          <w:p>
            <w:pPr>
              <w:pStyle w:val="36"/>
            </w:pPr>
            <w:r>
              <w:rPr>
                <w:rFonts w:hint="eastAsia"/>
              </w:rPr>
              <w:t>年度降幅</w:t>
            </w:r>
          </w:p>
        </w:tc>
        <w:tc>
          <w:tcPr>
            <w:tcW w:w="1704" w:type="dxa"/>
            <w:vAlign w:val="center"/>
          </w:tcPr>
          <w:p>
            <w:pPr>
              <w:pStyle w:val="36"/>
            </w:pPr>
            <w:r>
              <w:rPr>
                <w:rFonts w:hint="eastAsia"/>
              </w:rPr>
              <w:t>23.3</w:t>
            </w:r>
            <w:r>
              <w:t>%</w:t>
            </w:r>
          </w:p>
        </w:tc>
        <w:tc>
          <w:tcPr>
            <w:tcW w:w="1704" w:type="dxa"/>
            <w:vAlign w:val="center"/>
          </w:tcPr>
          <w:p>
            <w:pPr>
              <w:pStyle w:val="36"/>
            </w:pPr>
            <w:r>
              <w:rPr>
                <w:rFonts w:hint="eastAsia"/>
              </w:rPr>
              <w:t>2.1</w:t>
            </w:r>
            <w:r>
              <w:t>%</w:t>
            </w:r>
          </w:p>
        </w:tc>
        <w:tc>
          <w:tcPr>
            <w:tcW w:w="1705" w:type="dxa"/>
            <w:vAlign w:val="center"/>
          </w:tcPr>
          <w:p>
            <w:pPr>
              <w:pStyle w:val="36"/>
            </w:pPr>
            <w:r>
              <w:rPr>
                <w:rFonts w:hint="eastAsia"/>
              </w:rPr>
              <w:t>0.5</w:t>
            </w:r>
            <w:r>
              <w:t>%</w:t>
            </w:r>
          </w:p>
        </w:tc>
        <w:tc>
          <w:tcPr>
            <w:tcW w:w="1705" w:type="dxa"/>
            <w:vAlign w:val="center"/>
          </w:tcPr>
          <w:p>
            <w:pPr>
              <w:pStyle w:val="36"/>
            </w:pPr>
            <w:r>
              <w:rPr>
                <w:rFonts w:hint="eastAsia"/>
              </w:rPr>
              <w:t>9.6</w:t>
            </w:r>
            <w:r>
              <w:t>%</w:t>
            </w:r>
          </w:p>
        </w:tc>
      </w:tr>
    </w:tbl>
    <w:p>
      <w:pPr>
        <w:pStyle w:val="128"/>
      </w:pPr>
      <w:r>
        <w:rPr>
          <w:rFonts w:hint="eastAsia"/>
        </w:rPr>
        <w:t>数据来源</w:t>
      </w:r>
      <w:r>
        <w:t>：</w:t>
      </w:r>
      <w:r>
        <w:rPr>
          <w:rFonts w:hint="eastAsia"/>
        </w:rPr>
        <w:t>pvinsights,solarzoom,CPIA整理</w:t>
      </w:r>
      <w:r>
        <w:t>，</w:t>
      </w:r>
      <w:r>
        <w:rPr>
          <w:rFonts w:hint="eastAsia"/>
        </w:rPr>
        <w:t>2016.3</w:t>
      </w:r>
    </w:p>
    <w:p>
      <w:pPr>
        <w:pStyle w:val="128"/>
      </w:pPr>
      <w:r>
        <w:rPr>
          <w:rFonts w:hint="eastAsia"/>
        </w:rPr>
        <w:t>（3）产业市场</w:t>
      </w:r>
      <w:r>
        <w:t>继续转向亚太</w:t>
      </w:r>
    </w:p>
    <w:p>
      <w:pPr>
        <w:pStyle w:val="128"/>
      </w:pPr>
      <w:r>
        <w:rPr>
          <w:rFonts w:hint="eastAsia"/>
        </w:rPr>
        <w:t>中国</w:t>
      </w:r>
      <w:r>
        <w:t>、马来西亚、中国台湾等亚太地区的配套体系较欧美更加完善，且生产要素成本相对较低。据</w:t>
      </w:r>
      <w:r>
        <w:rPr>
          <w:rFonts w:hint="eastAsia"/>
        </w:rPr>
        <w:t>调研显示</w:t>
      </w:r>
      <w:r>
        <w:t>，除销售成本、综合开销及行政管理费用，以及利息、物流和担保费用，中国光伏制造商的直接制造成本仅为</w:t>
      </w:r>
      <w:r>
        <w:rPr>
          <w:rFonts w:hint="eastAsia"/>
        </w:rPr>
        <w:t>0.41美元/瓦</w:t>
      </w:r>
      <w:r>
        <w:t>，而在同样条件下，</w:t>
      </w:r>
      <w:r>
        <w:rPr>
          <w:rFonts w:hint="eastAsia"/>
        </w:rPr>
        <w:t>美国</w:t>
      </w:r>
      <w:r>
        <w:t>组件制造商的制造成本接近</w:t>
      </w:r>
      <w:r>
        <w:rPr>
          <w:rFonts w:hint="eastAsia"/>
        </w:rPr>
        <w:t>0.5美元/瓦。</w:t>
      </w:r>
      <w:r>
        <w:t>因此，大量欧美、日韩光伏制造企业将工厂转移至中国及南亚、东南亚地区，</w:t>
      </w:r>
      <w:r>
        <w:rPr>
          <w:rFonts w:hint="eastAsia"/>
        </w:rPr>
        <w:t>2015年</w:t>
      </w:r>
      <w:r>
        <w:t>，这种产业转移持续推进。同时</w:t>
      </w:r>
      <w:r>
        <w:rPr>
          <w:rFonts w:hint="eastAsia"/>
        </w:rPr>
        <w:t>，</w:t>
      </w:r>
      <w:r>
        <w:t>随着中国光伏市场的快速扩大，部分国外光伏电站开发商宣布将</w:t>
      </w:r>
      <w:r>
        <w:rPr>
          <w:rFonts w:hint="eastAsia"/>
        </w:rPr>
        <w:t>与</w:t>
      </w:r>
      <w:r>
        <w:t>中国光伏企业合作在中国开发光伏电站项目。</w:t>
      </w:r>
    </w:p>
    <w:p>
      <w:pPr>
        <w:pStyle w:val="127"/>
      </w:pPr>
      <w:r>
        <w:rPr>
          <w:rFonts w:hint="eastAsia"/>
        </w:rPr>
        <w:t>我国</w:t>
      </w:r>
      <w:r>
        <w:t>光伏产业总体情况</w:t>
      </w:r>
    </w:p>
    <w:p>
      <w:pPr>
        <w:pStyle w:val="128"/>
      </w:pPr>
      <w:r>
        <w:rPr>
          <w:rFonts w:hint="eastAsia"/>
        </w:rPr>
        <w:t>我国</w:t>
      </w:r>
      <w:r>
        <w:t>光伏产业继续保持</w:t>
      </w:r>
      <w:r>
        <w:rPr>
          <w:rFonts w:hint="eastAsia"/>
        </w:rPr>
        <w:t>2013年</w:t>
      </w:r>
      <w:r>
        <w:t>以来的回暖态势，在国际光伏市场蓬勃发展，特别是我国光伏市场强劲增长的拉动下，光伏企业产能利用率得到有效提</w:t>
      </w:r>
      <w:r>
        <w:rPr>
          <w:rFonts w:hint="eastAsia"/>
        </w:rPr>
        <w:t>高</w:t>
      </w:r>
      <w:r>
        <w:t>，产业规模稳步增长，技术水平不断进步，企业利润率得到有效提升，产业规模稳步增长，技术水平不断进步，企业利润率得到提升，</w:t>
      </w:r>
      <w:r>
        <w:rPr>
          <w:rFonts w:hint="eastAsia"/>
        </w:rPr>
        <w:t>“</w:t>
      </w:r>
      <w:r>
        <w:t>在</w:t>
      </w:r>
      <w:r>
        <w:rPr>
          <w:rFonts w:hint="eastAsia"/>
        </w:rPr>
        <w:t>一带一路”战略</w:t>
      </w:r>
      <w:r>
        <w:t>引导及国际贸易保护倒逼下，我国光伏企业的</w:t>
      </w:r>
      <w:r>
        <w:rPr>
          <w:rFonts w:hint="eastAsia"/>
        </w:rPr>
        <w:t>“走出去”步伐也在</w:t>
      </w:r>
      <w:r>
        <w:t>不断加快。</w:t>
      </w:r>
    </w:p>
    <w:p>
      <w:pPr>
        <w:pStyle w:val="128"/>
      </w:pPr>
      <w:r>
        <w:rPr>
          <w:rFonts w:hint="eastAsia"/>
        </w:rPr>
        <w:t>（1）产业规模迅速提高，企业盈利能力大幅提升</w:t>
      </w:r>
    </w:p>
    <w:p>
      <w:pPr>
        <w:pStyle w:val="128"/>
      </w:pPr>
      <w:r>
        <w:rPr>
          <w:rFonts w:hint="eastAsia"/>
        </w:rPr>
        <w:t>2015年，我国</w:t>
      </w:r>
      <w:r>
        <w:t>多晶硅开工企业约</w:t>
      </w:r>
      <w:r>
        <w:rPr>
          <w:rFonts w:hint="eastAsia"/>
        </w:rPr>
        <w:t>16家</w:t>
      </w:r>
      <w:r>
        <w:t>，产能为</w:t>
      </w:r>
      <w:r>
        <w:rPr>
          <w:rFonts w:hint="eastAsia"/>
        </w:rPr>
        <w:t>19万吨</w:t>
      </w:r>
      <w:r>
        <w:t>，</w:t>
      </w:r>
      <w:r>
        <w:rPr>
          <w:rFonts w:hint="eastAsia"/>
        </w:rPr>
        <w:t>产量达到16.5万吨，同比增长25%，16家多晶硅企业绝大多数处于满产状态，全球产量占比从2014年的45%提高到48.5%；硅片产能达到48GW，同比增长26.3%，全球产能占比从2014年的76%提高到78%，统计37家硅片平均产能利用率达到94%；电池片产量达到41GW，同比增长24.2%，全球产量占比从2014年的65.6%提高到68.3%，统计50家企业平均产能利用率达85%；组件产量达到超过43GW，同比增长20%，全球产量占比从2014年的68.4%提高到71.7%，组件企业平均产能利用率为86%。2015年，我国新增装机约15GW，同比增长逾40％，累计装机量达到约43GW，超越德国成为全球光伏累计装机量最大的国家。2015年，我国光伏企业盈利情况明显好转，大多数企业扭亏为盈。2015年光伏制造业的盈利能力已明显增强。33家规范企业2015年整体经营情况显示，平均利润率达4.7%，比2014年提高30.6%。从细分领域看，组件环节表现要明显好于硅片环节，前10家组件企业平均毛利率超15%。</w:t>
      </w:r>
    </w:p>
    <w:p>
      <w:pPr>
        <w:pStyle w:val="129"/>
      </w:pPr>
      <w:r>
        <w:drawing>
          <wp:inline distT="0" distB="0" distL="0" distR="0">
            <wp:extent cx="3599815" cy="2068195"/>
            <wp:effectExtent l="0" t="0" r="0" b="0"/>
            <wp:docPr id="242" name="图片 242" descr="C:\Users\12017\AppData\Roaming\Tencent\Users\497121372\QQ\WinTemp\RichOle\4X(7}7_BN9_0X]QZ47ISVV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C:\Users\12017\AppData\Roaming\Tencent\Users\497121372\QQ\WinTemp\RichOle\4X(7}7_BN9_0X]QZ47ISVVR.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3600000" cy="2068531"/>
                    </a:xfrm>
                    <a:prstGeom prst="rect">
                      <a:avLst/>
                    </a:prstGeom>
                    <a:noFill/>
                    <a:ln>
                      <a:noFill/>
                    </a:ln>
                  </pic:spPr>
                </pic:pic>
              </a:graphicData>
            </a:graphic>
          </wp:inline>
        </w:drawing>
      </w:r>
    </w:p>
    <w:p>
      <w:pPr>
        <w:pStyle w:val="137"/>
      </w:pPr>
      <w:r>
        <w:t>2011-2016年我国光伏新增装机量、增长率及全球新增装机量</w:t>
      </w:r>
    </w:p>
    <w:p>
      <w:pPr>
        <w:pStyle w:val="129"/>
      </w:pPr>
      <w:r>
        <w:drawing>
          <wp:inline distT="0" distB="0" distL="0" distR="0">
            <wp:extent cx="3599815" cy="2106930"/>
            <wp:effectExtent l="0" t="0" r="0" b="0"/>
            <wp:docPr id="246" name="图片 246" descr="C:\Users\12017\AppData\Roaming\Tencent\Users\497121372\QQ\WinTemp\RichOle\SS2OFU5F$6{1}TB__8`RTI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C:\Users\12017\AppData\Roaming\Tencent\Users\497121372\QQ\WinTemp\RichOle\SS2OFU5F$6{1}TB__8`RTIH.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3600000" cy="2107216"/>
                    </a:xfrm>
                    <a:prstGeom prst="rect">
                      <a:avLst/>
                    </a:prstGeom>
                    <a:noFill/>
                    <a:ln>
                      <a:noFill/>
                    </a:ln>
                  </pic:spPr>
                </pic:pic>
              </a:graphicData>
            </a:graphic>
          </wp:inline>
        </w:drawing>
      </w:r>
    </w:p>
    <w:p>
      <w:pPr>
        <w:pStyle w:val="137"/>
      </w:pPr>
      <w:r>
        <w:t>2011-2016年我国多晶硅产量、增长率及全球多晶硅产量</w:t>
      </w:r>
    </w:p>
    <w:p>
      <w:pPr>
        <w:pStyle w:val="129"/>
      </w:pPr>
      <w:r>
        <w:drawing>
          <wp:inline distT="0" distB="0" distL="0" distR="0">
            <wp:extent cx="3599815" cy="1972945"/>
            <wp:effectExtent l="0" t="0" r="0" b="0"/>
            <wp:docPr id="247" name="图片 247" descr="C:\Users\12017\AppData\Roaming\Tencent\Users\497121372\QQ\WinTemp\RichOle\T1Z6FPUC)$W}99KE{%_WHV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C:\Users\12017\AppData\Roaming\Tencent\Users\497121372\QQ\WinTemp\RichOle\T1Z6FPUC)$W}99KE{%_WHV5.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3600000" cy="1973423"/>
                    </a:xfrm>
                    <a:prstGeom prst="rect">
                      <a:avLst/>
                    </a:prstGeom>
                    <a:noFill/>
                    <a:ln>
                      <a:noFill/>
                    </a:ln>
                  </pic:spPr>
                </pic:pic>
              </a:graphicData>
            </a:graphic>
          </wp:inline>
        </w:drawing>
      </w:r>
    </w:p>
    <w:p>
      <w:pPr>
        <w:pStyle w:val="137"/>
      </w:pPr>
      <w:r>
        <w:t>2011-2016年我国光伏组件产量、增长率及全球光伏组件产量</w:t>
      </w:r>
    </w:p>
    <w:p>
      <w:pPr>
        <w:pStyle w:val="128"/>
      </w:pPr>
      <w:r>
        <w:rPr>
          <w:rFonts w:hint="eastAsia"/>
        </w:rPr>
        <w:t>（2）光伏制造全球布局提速，走出去步伐逐步加快</w:t>
      </w:r>
    </w:p>
    <w:p>
      <w:pPr>
        <w:pStyle w:val="128"/>
      </w:pPr>
      <w:r>
        <w:rPr>
          <w:rFonts w:hint="eastAsia"/>
        </w:rPr>
        <w:t>在“一带一路”战略引导及国际贸易保护倒逼下，我国光伏企业“走出去”步伐不断加快。我国光伏企业通过海外建厂、投资建设光伏电站等方式，实现全球化布局。阿特斯、保利协鑫等龙头企业在加拿大、美国和日本光伏项目储备达到700MW以上。部分企业选择在终端市场建厂以贴近市场，如中电电气在土耳其地新建电池及组件工厂，晶澳、天合宣布在印度合资建设电池及组件工厂；部分企业到成本洼地建厂以降低生产成本，如中利腾晖、英利宣布在泰国新建组件厂，卡姆丹克在马来西亚新建硅碇、硅片厂。另外，也有企业通过签订代工协议，以规避“双反”税率，绕道布局全球市场，如昱辉阳光已在7个国家建立了长期代工关系。</w:t>
      </w:r>
    </w:p>
    <w:p>
      <w:pPr>
        <w:pStyle w:val="128"/>
      </w:pPr>
      <w:r>
        <w:rPr>
          <w:rFonts w:hint="eastAsia"/>
        </w:rPr>
        <w:t>（3）弃光限电问题突出，融资难制约光伏发展</w:t>
      </w:r>
    </w:p>
    <w:p>
      <w:pPr>
        <w:pStyle w:val="128"/>
      </w:pPr>
      <w:r>
        <w:rPr>
          <w:rFonts w:hint="eastAsia"/>
        </w:rPr>
        <w:t>目前可再生能源发展规划与电网建设规划的统筹衔接出现问题，区域电网结构限制及外送通道建设滞后，光伏电站集中开发地区面临的限电形势愈发严峻，导致资源丰富地区的优势难以实现。同时，《可再生能源法》的保障性收购要求得不到切实落实，可再生能源发电系统被限制出力的现象十分严重，出现了大范围、常态性的限电、弃光现象。据统计，2015年我国西北地区弃光率达到17.08%，其中，甘肃弃光问题突出，累计弃光电量26.19亿千瓦时，约占全部弃光电量的56%，弃光率达到30.7%。新疆累计弃光电量15.08亿千瓦时，约占全部弃光电量的32%，弃光率达到22.0%。</w:t>
      </w:r>
    </w:p>
    <w:p>
      <w:pPr>
        <w:pStyle w:val="128"/>
      </w:pPr>
      <w:r>
        <w:rPr>
          <w:rFonts w:hint="eastAsia"/>
        </w:rPr>
        <w:t>除了弃光限电外，融资难、融资贵也制约着我国光伏产业发展。我国光伏企业受行业整合以及国外贸易争端等影响，基本丧失在海外资本市场融资能力。而境内融资成本较高，多数光伏企业融资成本在8%左右，部分甚至高达10%。高额的融资成本使得我国光伏企业成本高，大幅侵蚀企业利润。同时，可再生能源补贴资金存在巨大缺口，补贴拖欠较为严重。现行可再生能源补贴申报程序过于繁琐，导致资金调配周期过长，使得发电企业资金流转不畅、财务成本增加，产业链出现发电企业、制造企业、零部件企业间的三角债现象，严重影响了企业的技术创新、技术改造、技术升级、正常经营和经济效益。</w:t>
      </w:r>
    </w:p>
    <w:p>
      <w:pPr>
        <w:pStyle w:val="128"/>
      </w:pPr>
      <w:r>
        <w:rPr>
          <w:rFonts w:hint="eastAsia"/>
        </w:rPr>
        <w:t>（4）技术水平与产品性能不断提升，生产成本持续下降</w:t>
      </w:r>
    </w:p>
    <w:p>
      <w:pPr>
        <w:pStyle w:val="128"/>
      </w:pPr>
      <w:r>
        <w:rPr>
          <w:rFonts w:hint="eastAsia"/>
        </w:rPr>
        <w:t>2015年，在内外环境的共同推动下，我国光伏企业加大工艺技术研发力度，技术水平与产品性能不断提升。骨干企业多晶硅生产能耗继续下降，行业平均综合电耗已降至100kW·h/kg，部分企业甚至已低于70kW·h/kg，硅烷法流化床法等产业化进程加快；单晶及多晶电池技术持续改进，晶硅电池生产的每瓦耗硅量由2010年的约7g降低至目前的5g左右，产业化生产的普通结构电池效率分别达到19.5%和18.3%，处于全球领先水平，部分企业生产的N型电池平均转换效率达到22.9%。钝化发射极背面接触（PERC）、异质结（HIT）、背电极、高倍聚光、等技术路线加快发展，部分技术开始批量生产；光伏组件封装及抗光致衰减技术不断改进。在生产工艺水平的驱动下，产品生产成本不断降低，多晶硅全成本降至15美元/kg，领先企业组件生产成本降至2.9元/瓦，光伏发电系统投资成本降至8-9元/瓦以下，部分分布式装机甚至降至6元/W，度电成本降至0.6-0.9元/千瓦时。</w:t>
      </w:r>
    </w:p>
    <w:p>
      <w:pPr>
        <w:pStyle w:val="128"/>
      </w:pPr>
      <w:r>
        <w:rPr>
          <w:rFonts w:hint="eastAsia"/>
        </w:rPr>
        <w:t>（5）光伏市场蓬勃发展，市场应用呈现多元化</w:t>
      </w:r>
    </w:p>
    <w:p>
      <w:pPr>
        <w:pStyle w:val="128"/>
      </w:pPr>
      <w:r>
        <w:rPr>
          <w:rFonts w:hint="eastAsia"/>
        </w:rPr>
        <w:t>光伏应用模式逐步多元化，目前，虽然大型地面电站仍然占据我国光伏装机总量的80%以上，但2015年，我国光伏电站开发呈现与农业、养殖业、矿业、生态治理相融合的多元化发展趋势。受政策拉动，分布式光伏发电规模也不断扩大，主要分布在电力负荷比较集中的中东部地区。光伏水泵、光伏路灯、光伏树及光伏消费品等光伏应用产品型态逐步多样化。</w:t>
      </w:r>
    </w:p>
    <w:p>
      <w:pPr>
        <w:pStyle w:val="127"/>
      </w:pPr>
      <w:r>
        <w:rPr>
          <w:rFonts w:hint="eastAsia"/>
        </w:rPr>
        <w:t>我国</w:t>
      </w:r>
      <w:r>
        <w:t>光伏</w:t>
      </w:r>
      <w:r>
        <w:rPr>
          <w:rFonts w:hint="eastAsia"/>
        </w:rPr>
        <w:t>产业</w:t>
      </w:r>
      <w:r>
        <w:t>发展趋势</w:t>
      </w:r>
    </w:p>
    <w:p>
      <w:pPr>
        <w:pStyle w:val="128"/>
      </w:pPr>
      <w:r>
        <w:rPr>
          <w:rFonts w:hint="eastAsia"/>
        </w:rPr>
        <w:t>（1）产业规模仍将持续扩大，行业扩产意愿强烈</w:t>
      </w:r>
    </w:p>
    <w:p>
      <w:pPr>
        <w:pStyle w:val="128"/>
      </w:pPr>
      <w:r>
        <w:rPr>
          <w:rFonts w:hint="eastAsia"/>
        </w:rPr>
        <w:t>多晶硅方面，随着全球新增多晶硅产能投产和原有产能优化提升，预计全球多晶硅产量将达到36万吨，我国多晶硅产量将达到18万吨，产品价格预计仍将维持在11万元/吨左右。在电池组件方面，随着光伏行业的整体好转以及由于组件价格下降使得光伏发电成本不断逼近甚至达到平价上网，预计我国组件产量继续呈现增长势头，含海外工厂有望达到50GW，产业集中度有进一步提升。同时考虑到美国由于ITC（税收减免）政策将在2016年底到期，将继续掀起抢装高潮。新兴市场如印度、非洲等正大力推动光伏发展，随着配套政策及融资手段的完善，将成为下一个爆发的增长点。“一带一路”地区光伏市场需求也逐渐释放，我国光伏装机在“领跑者”计划和电价下调带来的抢装驱动下，全年光伏装机市场将达到20GW以上。2016年海外光伏市场也将助推我国光伏产业的发展。“又一轮光伏热袭来，预计行业扩产意愿将会更强烈。</w:t>
      </w:r>
    </w:p>
    <w:p>
      <w:pPr>
        <w:pStyle w:val="128"/>
      </w:pPr>
      <w:r>
        <w:rPr>
          <w:rFonts w:hint="eastAsia"/>
        </w:rPr>
        <w:t>（2）产业投资持续加强，企业兼并重组步伐加速</w:t>
      </w:r>
    </w:p>
    <w:p>
      <w:pPr>
        <w:pStyle w:val="128"/>
      </w:pPr>
      <w:r>
        <w:rPr>
          <w:rFonts w:hint="eastAsia"/>
        </w:rPr>
        <w:t>在政府扶持、技术进步的大环境之下，我国光伏行业持续回暖，光伏行业投资热情大涨，很多传统行业力图通过收并购的手段来迅速进军光伏行业。同时，我国光伏企业仍将加速拓展新兴市场，积极实施产业全球布局计划，通过海外投资设厂、海外企业并购等方式，推动国际光伏贸易格局加快演进，光伏产业投资持续加强。随着光伏市场的良性发展，光伏行业发展逐渐呈现了“大者恒大、弱者愈弱”的“马太效应”，那些竞争力不强、经营情况不好的光伏企业将逐步通过重组退出光伏市场，而龙头企业将通过收购其他企业扩大产能以抢占市场份额，或获得先进生产技术。工业和信息化部发布了《关于进一步优化光伏企业兼并重组市场环境的意见》，一定程度上消除了兼并重组过程中的政策性障碍，金融机构也在通过相关政策性基金支持企业加强兼并重组，为企业兼并重组创造了良好的政策环境；《光伏制造行业规范条件》相应指标的提升也进一步提高了光伏企业的技术门槛，上述政策的叠加也将加快落后产能的淘汰，2016年或成为光伏行业整合、并购之年。</w:t>
      </w:r>
    </w:p>
    <w:p>
      <w:pPr>
        <w:pStyle w:val="128"/>
      </w:pPr>
      <w:r>
        <w:rPr>
          <w:rFonts w:hint="eastAsia"/>
        </w:rPr>
        <w:t>（3）融资难并网难仍待破解，非技术因素蚕食电站利润</w:t>
      </w:r>
    </w:p>
    <w:p>
      <w:pPr>
        <w:pStyle w:val="128"/>
      </w:pPr>
      <w:r>
        <w:rPr>
          <w:rFonts w:hint="eastAsia"/>
        </w:rPr>
        <w:t>中国光伏企业融资成本远高于美国、欧洲地区平均水平，沉重的资金负担和入不敷出的现金流使众多光伏企业苦不堪言。尤其是分布式光伏发电开发主体多以中小企业为主，可选的融资工具较少，高昂融资成本抑制了中小企业发展分布式光伏的意愿。目前融资租赁、yieldco、资产证券化、众筹等方式具有不同程度限制，破解光伏融资难题根本上还要依靠手握重金的银行,2016年，光伏行业融资难并网难问题仍待破解。从2015年并网装机容量来看，新疆(含兵团)，甘肃和内蒙古都已经早早地超过了国家给定额度。由于承载这些地区电力输送至需求量大的城市中心的特高压设施仍在建设期，这些省份仍将面临严峻的限电问题。我们预计其它地区，例如浙江和福建，也有可能遇到类似问题。在目前负荷与资源错配的现象短期内无法解决的情况下，虽然电改将从制度和实操层面有效缓解目前弃光限电严重的现象，但是限电、补贴、用地压力仍在，上述非技术性因素仍将蚕食电站利润。</w:t>
      </w:r>
    </w:p>
    <w:p>
      <w:pPr>
        <w:pStyle w:val="128"/>
      </w:pPr>
      <w:r>
        <w:rPr>
          <w:rFonts w:hint="eastAsia"/>
        </w:rPr>
        <w:t>（4）新技术新产品开发活跃,智能化水平有望提升</w:t>
      </w:r>
    </w:p>
    <w:p>
      <w:pPr>
        <w:pStyle w:val="128"/>
      </w:pPr>
      <w:r>
        <w:t>2016-2017</w:t>
      </w:r>
      <w:r>
        <w:rPr>
          <w:rFonts w:hint="eastAsia"/>
        </w:rPr>
        <w:t>年，技术进步仍将是产业发展主题。光伏领跑者计划将继续进一步拉动高效单晶市场需求，单晶硅电池产业化主流效率有望达到</w:t>
      </w:r>
      <w:r>
        <w:t>3</w:t>
      </w:r>
      <w:r>
        <w:rPr>
          <w:rFonts w:hint="eastAsia"/>
        </w:rPr>
        <w:t>0%，主流组件产品功率将达到2</w:t>
      </w:r>
      <w:r>
        <w:t>80</w:t>
      </w:r>
      <w:r>
        <w:rPr>
          <w:rFonts w:hint="eastAsia"/>
        </w:rPr>
        <w:t>-</w:t>
      </w:r>
      <w:r>
        <w:t>295</w:t>
      </w:r>
      <w:r>
        <w:rPr>
          <w:rFonts w:hint="eastAsia"/>
        </w:rPr>
        <w:t>W，PERC电池、N型电池规模化生产进一步扩大。考虑到西部限电问题比较突出，今年光伏电站将向中东部地区倾斜，农光、渔光互补等新模式将推动双玻组件、双面组件</w:t>
      </w:r>
      <w:r>
        <w:t>、</w:t>
      </w:r>
      <w:r>
        <w:rPr>
          <w:rFonts w:hint="eastAsia"/>
        </w:rPr>
        <w:t>跟踪系统、MPPT逆变器等新产品需求。硅烷流化床法多晶硅生产工艺有望实现规模化生产，单晶连续投料生产工艺和G7、G8大容量铸锭技术持续进步，金刚线切割技术将得到进一步应用。市场供需关系的改变，将会倒逼企业通过技术进步和产品差异化获得进展优势。同时，光伏制造的自动化、智能化、柔性化以及未来全球虚拟工厂成为光伏产业升级的主要趋势，大部分的光伏企业已经逐步实现由“制造”向“智造”转型，光伏制造的智能化水平有望逐步提高。未来一段时期，国内外光伏市场需求旺盛，高效和可靠性不再是衡量光伏产品的唯一指标，智能化、轻量、与建筑结合的要求会使产品更加多样化，并适用于多种应用和安装条件，从而实现能源互联网。</w:t>
      </w:r>
    </w:p>
    <w:p>
      <w:pPr>
        <w:pStyle w:val="128"/>
      </w:pPr>
      <w:r>
        <w:rPr>
          <w:rFonts w:hint="eastAsia"/>
        </w:rPr>
        <w:t>（5）市场应用持续强劲，分布式发展势态</w:t>
      </w:r>
      <w:r>
        <w:t>良好</w:t>
      </w:r>
    </w:p>
    <w:p>
      <w:pPr>
        <w:pStyle w:val="128"/>
      </w:pPr>
      <w:r>
        <w:rPr>
          <w:rFonts w:hint="eastAsia"/>
        </w:rPr>
        <w:t>我国光伏市场虽面临局部地区限电、土地、补贴拖欠、上网标杆电价下调等问题，但政府正通过提升可再生能源附加、优化电站指标规模发放等破解瓶颈，而产品价格的持续下降也将抵消电价下调和限电带来的影响。受政策拉动，分布式光伏发电规模不断扩大，应用领域更加广泛，主要分布区域转向电力负荷比较集中的中东部地区。同时，我国初步规划“十三五”光伏装机规模目标将达150GW左右，此次装机规模大幅提升，再次表明国家支持光伏发展的决心。随着国家光伏政策的逐渐落实，投资者信心增强，国内光伏市场应用持续强劲。同时，</w:t>
      </w:r>
      <w:r>
        <w:t>受技术进步和成本下降等因素的推动，以及激烈的市场竞争影响，</w:t>
      </w:r>
      <w:r>
        <w:rPr>
          <w:rFonts w:hint="eastAsia"/>
        </w:rPr>
        <w:t>20</w:t>
      </w:r>
      <w:r>
        <w:t>17</w:t>
      </w:r>
      <w:r>
        <w:rPr>
          <w:rFonts w:hint="eastAsia"/>
        </w:rPr>
        <w:t>年之后上网标杆电价将下调。</w:t>
      </w:r>
    </w:p>
    <w:p>
      <w:pPr>
        <w:pStyle w:val="128"/>
      </w:pPr>
      <w:r>
        <w:rPr>
          <w:rFonts w:hint="eastAsia"/>
        </w:rPr>
        <w:t>（6）弱化补贴依赖</w:t>
      </w:r>
    </w:p>
    <w:p>
      <w:pPr>
        <w:pStyle w:val="128"/>
      </w:pPr>
      <w:r>
        <w:rPr>
          <w:rFonts w:hint="eastAsia"/>
        </w:rPr>
        <w:t>用于支付可再生能源补贴的国家可再生能源发展基金缺口连年扩大，其主要原因是可再生能源电价附加未能实现应收尽收。虽然，2013年中国已将可再生能源电价附加标准提高至1.5分/kWh，但可再生能源发展基金规模增速远不能满足可再生能源新增装机补贴需求，截止到2016年</w:t>
      </w:r>
      <w:r>
        <w:t>上半年，我国可再生能源电价补贴缺口累计达到</w:t>
      </w:r>
      <w:r>
        <w:rPr>
          <w:rFonts w:hint="eastAsia"/>
        </w:rPr>
        <w:t>550亿元</w:t>
      </w:r>
      <w:r>
        <w:t>。</w:t>
      </w:r>
    </w:p>
    <w:p>
      <w:pPr>
        <w:pStyle w:val="128"/>
      </w:pPr>
      <w:r>
        <w:rPr>
          <w:rFonts w:hint="eastAsia"/>
        </w:rPr>
        <w:t>为弱化光伏行业对补贴的依赖，以价格倒逼光伏产业技术升级、成本下降，年末发改委再次下调光伏标杆电价0.02-0.1元/kWh。与陆上风电一并调整2016年标杆电价不同，此次调价暂未明确2017年后的光伏发电的标杆电价，体现了继续扶持光伏市场发展的政策导向。</w:t>
      </w:r>
    </w:p>
    <w:p>
      <w:pPr>
        <w:pStyle w:val="128"/>
      </w:pPr>
      <w:r>
        <w:rPr>
          <w:rFonts w:hint="eastAsia"/>
        </w:rPr>
        <w:t>（7）“领跑者”计划</w:t>
      </w:r>
      <w:r>
        <w:t>将引领国内光伏市场发展</w:t>
      </w:r>
    </w:p>
    <w:p>
      <w:pPr>
        <w:pStyle w:val="128"/>
      </w:pPr>
      <w:r>
        <w:rPr>
          <w:rFonts w:hint="eastAsia"/>
        </w:rPr>
        <w:t>国家</w:t>
      </w:r>
      <w:r>
        <w:t>对</w:t>
      </w:r>
      <w:r>
        <w:rPr>
          <w:rFonts w:hint="eastAsia"/>
        </w:rPr>
        <w:t>集中并网</w:t>
      </w:r>
      <w:r>
        <w:t>光伏电站采取总量规模控制原则，</w:t>
      </w:r>
      <w:r>
        <w:rPr>
          <w:rFonts w:hint="eastAsia"/>
        </w:rPr>
        <w:t>在</w:t>
      </w:r>
      <w:r>
        <w:t>全国范围内进行整体调控，每年按计划</w:t>
      </w:r>
      <w:r>
        <w:rPr>
          <w:rFonts w:hint="eastAsia"/>
        </w:rPr>
        <w:t>向</w:t>
      </w:r>
      <w:r>
        <w:t>各省下达</w:t>
      </w:r>
      <w:r>
        <w:rPr>
          <w:rFonts w:hint="eastAsia"/>
        </w:rPr>
        <w:t>集中式</w:t>
      </w:r>
      <w:r>
        <w:t>光伏电站开发规模</w:t>
      </w:r>
      <w:r>
        <w:rPr>
          <w:rFonts w:hint="eastAsia"/>
        </w:rPr>
        <w:t>；</w:t>
      </w:r>
      <w:r>
        <w:t>与此同时，为了进一步促进</w:t>
      </w:r>
      <w:r>
        <w:rPr>
          <w:rFonts w:hint="eastAsia"/>
        </w:rPr>
        <w:t>光伏</w:t>
      </w:r>
      <w:r>
        <w:t>市场的规范化和先进化，推动光伏发电</w:t>
      </w:r>
      <w:r>
        <w:rPr>
          <w:rFonts w:hint="eastAsia"/>
        </w:rPr>
        <w:t>提效</w:t>
      </w:r>
      <w:r>
        <w:t>降价，</w:t>
      </w:r>
      <w:r>
        <w:rPr>
          <w:rFonts w:hint="eastAsia"/>
        </w:rPr>
        <w:t>早日实现</w:t>
      </w:r>
      <w:r>
        <w:t>光伏发电平价上网，</w:t>
      </w:r>
      <w:r>
        <w:rPr>
          <w:rFonts w:hint="eastAsia"/>
        </w:rPr>
        <w:t>从2015年</w:t>
      </w:r>
      <w:r>
        <w:t>开始，</w:t>
      </w:r>
      <w:r>
        <w:rPr>
          <w:rFonts w:hint="eastAsia"/>
        </w:rPr>
        <w:t>国家能源局每年将安排专门的市场规模实施“领跑者”计划，要求项目采用先进技术产品。国家通过组织光伏发电基地、新技术示范基地等方式组织实施，对示范工程提出建设标准、技术进步及成本下降目标等要求，通过竞争性方式选择技术能力和投资经营实力强的开发投资企业，企业通过市场机制选择达到“领跑者”技术指标的光伏产品。</w:t>
      </w:r>
    </w:p>
    <w:p>
      <w:pPr>
        <w:pStyle w:val="128"/>
      </w:pPr>
      <w:r>
        <w:t>2016</w:t>
      </w:r>
      <w:r>
        <w:rPr>
          <w:rFonts w:hint="eastAsia"/>
        </w:rPr>
        <w:t>年国家</w:t>
      </w:r>
      <w:r>
        <w:t>能源局下达光伏发电规模指标，其中普通集中式光伏电站</w:t>
      </w:r>
      <w:r>
        <w:rPr>
          <w:rFonts w:hint="eastAsia"/>
        </w:rPr>
        <w:t>21各省</w:t>
      </w:r>
      <w:r>
        <w:t>，总规模为</w:t>
      </w:r>
      <w:r>
        <w:rPr>
          <w:rFonts w:hint="eastAsia"/>
        </w:rPr>
        <w:t>12.6G；光伏</w:t>
      </w:r>
      <w:r>
        <w:t>领跑者</w:t>
      </w:r>
      <w:r>
        <w:rPr>
          <w:rFonts w:hint="eastAsia"/>
        </w:rPr>
        <w:t>批复8个</w:t>
      </w:r>
      <w:r>
        <w:t>基地</w:t>
      </w:r>
      <w:r>
        <w:rPr>
          <w:rFonts w:hint="eastAsia"/>
        </w:rPr>
        <w:t>，总规模</w:t>
      </w:r>
      <w:r>
        <w:t>为</w:t>
      </w:r>
      <w:r>
        <w:rPr>
          <w:rFonts w:hint="eastAsia"/>
        </w:rPr>
        <w:t>5.5G，其中河北省张家口50万千瓦，山西150万千瓦，内蒙古150万千瓦，安徽100万千瓦，山东100万千瓦。截至</w:t>
      </w:r>
      <w:r>
        <w:t>目前，所有基地已完成项目招商，</w:t>
      </w:r>
      <w:r>
        <w:rPr>
          <w:rFonts w:hint="eastAsia"/>
        </w:rPr>
        <w:t>全部项目预计将于2017年底建设完成并通过验收并网运行。</w:t>
      </w:r>
    </w:p>
    <w:p>
      <w:pPr>
        <w:pStyle w:val="128"/>
      </w:pPr>
      <w:r>
        <w:rPr>
          <w:rFonts w:hint="eastAsia"/>
        </w:rPr>
        <w:t>未来“领跑者”基地</w:t>
      </w:r>
      <w:r>
        <w:t>建设将会得到更大发展。</w:t>
      </w:r>
      <w:r>
        <w:rPr>
          <w:rFonts w:hint="eastAsia"/>
        </w:rPr>
        <w:t>“领跑者计划”一是</w:t>
      </w:r>
      <w:r>
        <w:t>能够有效</w:t>
      </w:r>
      <w:r>
        <w:rPr>
          <w:rFonts w:hint="eastAsia"/>
        </w:rPr>
        <w:t>拉动高效</w:t>
      </w:r>
      <w:r>
        <w:t>产品市场需求，有利于推动企业技术升级和产品质量提升，促进我国光伏产业转型升级；</w:t>
      </w:r>
      <w:r>
        <w:rPr>
          <w:rFonts w:hint="eastAsia"/>
        </w:rPr>
        <w:t>二是</w:t>
      </w:r>
      <w:r>
        <w:t>通过市场化机制决定光伏电站规模分配，有</w:t>
      </w:r>
      <w:r>
        <w:rPr>
          <w:rFonts w:hint="eastAsia"/>
        </w:rPr>
        <w:t>利于</w:t>
      </w:r>
      <w:r>
        <w:t>解决过去散、小、乱的电站指标发放；三是</w:t>
      </w:r>
      <w:r>
        <w:rPr>
          <w:rFonts w:hint="eastAsia"/>
        </w:rPr>
        <w:t>“领跑者”基地</w:t>
      </w:r>
      <w:r>
        <w:t>政府充当保姆角色，提供统一公共基础设施代建、备案规划统一打捆服务等，有利于业主降低投资成本。</w:t>
      </w:r>
      <w:r>
        <w:rPr>
          <w:rFonts w:hint="eastAsia"/>
        </w:rPr>
        <w:t>但</w:t>
      </w:r>
      <w:r>
        <w:t>目前我国能够达到</w:t>
      </w:r>
      <w:r>
        <w:rPr>
          <w:rFonts w:hint="eastAsia"/>
        </w:rPr>
        <w:t>“领跑者”计划</w:t>
      </w:r>
      <w:r>
        <w:t>要求的产品产能较低，远不能满足市场需求，亟待加速</w:t>
      </w:r>
      <w:r>
        <w:rPr>
          <w:rFonts w:hint="eastAsia"/>
        </w:rPr>
        <w:t>对</w:t>
      </w:r>
      <w:r>
        <w:t>生产设备进行升级或新技术产业化，提升先进生产线产能和提高产品质量。</w:t>
      </w:r>
    </w:p>
    <w:p>
      <w:pPr>
        <w:pStyle w:val="126"/>
      </w:pPr>
      <w:r>
        <w:rPr>
          <w:rFonts w:hint="eastAsia"/>
        </w:rPr>
        <w:t>产业发展</w:t>
      </w:r>
      <w:r>
        <w:t>思路</w:t>
      </w:r>
    </w:p>
    <w:p>
      <w:pPr>
        <w:pStyle w:val="128"/>
      </w:pPr>
      <w:r>
        <w:rPr>
          <w:rFonts w:hint="eastAsia"/>
        </w:rPr>
        <w:t>以提高太阳能电池转化效率、器件使用寿命和降低光伏发电系统成本为目标，大力发展太阳能光伏电池的生产制造新工艺和新装备；积极推动多元化太阳能光伏光热发电技术新设备、新材料的产业化及其商业化发电示范；建立大型并网光伏发电站，推进建筑一体化光伏发电应用。大规模推广应用高效、多功能太阳能热水器，推动太阳能在供暖、制冷和中高温工业领域的应用。建立促进光伏发电分布式应用的市场环境，推进以太阳能应用为主、综合利用各种可再生能源的新能源城市建设。</w:t>
      </w:r>
    </w:p>
    <w:p>
      <w:pPr>
        <w:pStyle w:val="127"/>
      </w:pPr>
      <w:r>
        <w:rPr>
          <w:rFonts w:hint="eastAsia"/>
        </w:rPr>
        <w:t>产业链</w:t>
      </w:r>
      <w:r>
        <w:t>发展特征</w:t>
      </w:r>
    </w:p>
    <w:p>
      <w:pPr>
        <w:pStyle w:val="128"/>
      </w:pPr>
      <w:r>
        <w:t>光伏产业链包括硅料、硅片、电池片、电池组件、应用系统5个环节。上游为硅料、硅片环节；中游为电池片、电池组件环节；下游为应用系统环节。</w:t>
      </w:r>
      <w:r>
        <w:rPr>
          <w:rFonts w:hint="eastAsia"/>
        </w:rPr>
        <w:t>同时</w:t>
      </w:r>
      <w:r>
        <w:t>各个产业链涉及光伏设备以及辅料及系统部件</w:t>
      </w:r>
      <w:r>
        <w:rPr>
          <w:rFonts w:hint="eastAsia"/>
        </w:rPr>
        <w:t>。</w:t>
      </w:r>
      <w:r>
        <w:t>从全球范围来看，产业链5个环节所涉及企业数量依次大幅增加，光伏市场产业链呈金字塔形结构。</w:t>
      </w:r>
    </w:p>
    <w:p>
      <w:pPr>
        <w:pStyle w:val="129"/>
      </w:pPr>
      <w:r>
        <w:rPr>
          <w:rFonts w:asciiTheme="minorEastAsia" w:hAnsiTheme="minorEastAsia" w:eastAsiaTheme="minorEastAsia"/>
        </w:rPr>
        <w:drawing>
          <wp:inline distT="0" distB="0" distL="0" distR="0">
            <wp:extent cx="4253230" cy="2355850"/>
            <wp:effectExtent l="0" t="0" r="0"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noChangeArrowheads="1"/>
                    </pic:cNvPicPr>
                  </pic:nvPicPr>
                  <pic:blipFill>
                    <a:blip r:embed="rId52" cstate="print"/>
                    <a:srcRect/>
                    <a:stretch>
                      <a:fillRect/>
                    </a:stretch>
                  </pic:blipFill>
                  <pic:spPr>
                    <a:xfrm>
                      <a:off x="0" y="0"/>
                      <a:ext cx="4295496" cy="2379142"/>
                    </a:xfrm>
                    <a:prstGeom prst="rect">
                      <a:avLst/>
                    </a:prstGeom>
                    <a:noFill/>
                    <a:ln w="9525">
                      <a:noFill/>
                      <a:miter lim="800000"/>
                      <a:headEnd/>
                      <a:tailEnd/>
                    </a:ln>
                  </pic:spPr>
                </pic:pic>
              </a:graphicData>
            </a:graphic>
          </wp:inline>
        </w:drawing>
      </w:r>
    </w:p>
    <w:p>
      <w:pPr>
        <w:pStyle w:val="137"/>
      </w:pPr>
      <w:r>
        <w:rPr>
          <w:rFonts w:hint="eastAsia"/>
        </w:rPr>
        <w:t>光伏产业链构成示意图</w:t>
      </w:r>
    </w:p>
    <w:p>
      <w:pPr>
        <w:pStyle w:val="128"/>
      </w:pPr>
      <w:r>
        <w:rPr>
          <w:rFonts w:hint="eastAsia"/>
        </w:rPr>
        <w:t>（1）硅料</w:t>
      </w:r>
    </w:p>
    <w:p>
      <w:pPr>
        <w:pStyle w:val="128"/>
      </w:pPr>
      <w:r>
        <w:rPr>
          <w:rFonts w:hint="eastAsia"/>
        </w:rPr>
        <w:t>硅料</w:t>
      </w:r>
      <w:r>
        <w:t>制备主要是</w:t>
      </w:r>
      <w:r>
        <w:rPr>
          <w:rFonts w:hint="eastAsia"/>
        </w:rPr>
        <w:t>金属硅</w:t>
      </w:r>
      <w:r>
        <w:t>冶炼，</w:t>
      </w:r>
      <w:r>
        <w:rPr>
          <w:rFonts w:hint="eastAsia"/>
        </w:rPr>
        <w:t>需要在</w:t>
      </w:r>
      <w:r>
        <w:t>电力充沛且电价较低的地方，</w:t>
      </w:r>
      <w:r>
        <w:rPr>
          <w:rFonts w:hint="eastAsia"/>
        </w:rPr>
        <w:t>多晶硅</w:t>
      </w:r>
      <w:r>
        <w:t>制备属于技术密集型和</w:t>
      </w:r>
      <w:r>
        <w:rPr>
          <w:rFonts w:hint="eastAsia"/>
        </w:rPr>
        <w:t>资本密集型</w:t>
      </w:r>
      <w:r>
        <w:t>产业，</w:t>
      </w:r>
      <w:r>
        <w:rPr>
          <w:rFonts w:hint="eastAsia"/>
        </w:rPr>
        <w:t>生产线</w:t>
      </w:r>
      <w:r>
        <w:t>需要负荷保持稳定，所以生产弹性较小</w:t>
      </w:r>
      <w:r>
        <w:rPr>
          <w:rFonts w:hint="eastAsia"/>
        </w:rPr>
        <w:t>，</w:t>
      </w:r>
      <w:r>
        <w:t>容易积压</w:t>
      </w:r>
      <w:r>
        <w:rPr>
          <w:rFonts w:hint="eastAsia"/>
        </w:rPr>
        <w:t>货品</w:t>
      </w:r>
      <w:r>
        <w:t>，</w:t>
      </w:r>
      <w:r>
        <w:rPr>
          <w:rFonts w:hint="eastAsia"/>
        </w:rPr>
        <w:t>企业</w:t>
      </w:r>
      <w:r>
        <w:t>的集中度较高，排名前十的企业产能约占国内总产能的</w:t>
      </w:r>
      <w:r>
        <w:rPr>
          <w:rFonts w:hint="eastAsia"/>
        </w:rPr>
        <w:t>93.2</w:t>
      </w:r>
      <w:r>
        <w:t>%</w:t>
      </w:r>
      <w:r>
        <w:rPr>
          <w:rFonts w:hint="eastAsia"/>
        </w:rPr>
        <w:t>。</w:t>
      </w:r>
      <w:r>
        <w:t>目前国内</w:t>
      </w:r>
      <w:r>
        <w:rPr>
          <w:rFonts w:hint="eastAsia"/>
        </w:rPr>
        <w:t>多晶硅</w:t>
      </w:r>
      <w:r>
        <w:t>仍有缺口，部分需要从国外进口，但由于市场的不稳定性，仍然存在阶段性过剩的可能性，利润上涨空间有限。</w:t>
      </w:r>
      <w:r>
        <w:rPr>
          <w:rFonts w:hint="eastAsia"/>
        </w:rPr>
        <w:t>虽然</w:t>
      </w:r>
      <w:r>
        <w:t>国内多晶硅已经突破技术封锁，实现了部分产能的国产化，有效促进了我国光伏市场的硅料价格下降，但整体的产品质量水平不高，</w:t>
      </w:r>
      <w:r>
        <w:rPr>
          <w:rFonts w:hint="eastAsia"/>
        </w:rPr>
        <w:t>高质量</w:t>
      </w:r>
      <w:r>
        <w:t>的多晶硅仍然具有很大的市场发展空间。</w:t>
      </w:r>
    </w:p>
    <w:p>
      <w:pPr>
        <w:pStyle w:val="128"/>
      </w:pPr>
      <w:r>
        <w:rPr>
          <w:rFonts w:hint="eastAsia"/>
        </w:rPr>
        <w:t>（2）硅片、</w:t>
      </w:r>
      <w:r>
        <w:t>硅棒</w:t>
      </w:r>
    </w:p>
    <w:p>
      <w:pPr>
        <w:pStyle w:val="128"/>
      </w:pPr>
      <w:r>
        <w:rPr>
          <w:rFonts w:hint="eastAsia"/>
        </w:rPr>
        <w:t>单晶硅片、硅棒的制造是光伏产业链上游的中间环节。硅片</w:t>
      </w:r>
      <w:r>
        <w:t>的生产环节主要是多晶硅提纯、铸锭和切片，硅片的产业集中度较高，全球前十大硅片厂的产量占比约为</w:t>
      </w:r>
      <w:r>
        <w:rPr>
          <w:rFonts w:hint="eastAsia"/>
        </w:rPr>
        <w:t>59.9</w:t>
      </w:r>
      <w:r>
        <w:t>%，而电池和组件的前十家产能占比均低于此，因此硅片具有较强的议价能力</w:t>
      </w:r>
      <w:r>
        <w:rPr>
          <w:rFonts w:hint="eastAsia"/>
        </w:rPr>
        <w:t>，</w:t>
      </w:r>
      <w:r>
        <w:t>利润空间较为</w:t>
      </w:r>
      <w:r>
        <w:rPr>
          <w:rFonts w:hint="eastAsia"/>
        </w:rPr>
        <w:t>可观。</w:t>
      </w:r>
      <w:r>
        <w:t>未来</w:t>
      </w:r>
      <w:r>
        <w:rPr>
          <w:rFonts w:hint="eastAsia"/>
        </w:rPr>
        <w:t>晶硅</w:t>
      </w:r>
      <w:r>
        <w:t>产品将继续占据光伏发电的主流地位，低成本、高转换效率将是技术发展重点。</w:t>
      </w:r>
    </w:p>
    <w:p>
      <w:pPr>
        <w:pStyle w:val="128"/>
      </w:pPr>
      <w:r>
        <w:rPr>
          <w:rFonts w:hint="eastAsia"/>
        </w:rPr>
        <w:t>（3）电池片</w:t>
      </w:r>
    </w:p>
    <w:p>
      <w:pPr>
        <w:pStyle w:val="128"/>
      </w:pPr>
      <w:r>
        <w:rPr>
          <w:rFonts w:hint="eastAsia"/>
        </w:rPr>
        <w:t>当今在用的光伏发电技术主要有3种：晶体硅太阳能电池、薄膜太阳能电池和聚光太阳能电池，其中晶体硅电池应用最为广泛，达到80%以上。目前</w:t>
      </w:r>
      <w:r>
        <w:t>市面上流通的电池片种类</w:t>
      </w:r>
      <w:r>
        <w:rPr>
          <w:rFonts w:hint="eastAsia"/>
        </w:rPr>
        <w:t>以多晶硅</w:t>
      </w:r>
      <w:r>
        <w:t>电池</w:t>
      </w:r>
      <w:r>
        <w:rPr>
          <w:rFonts w:hint="eastAsia"/>
        </w:rPr>
        <w:t>片和</w:t>
      </w:r>
      <w:r>
        <w:t>单晶硅电池片</w:t>
      </w:r>
      <w:r>
        <w:rPr>
          <w:rFonts w:hint="eastAsia"/>
        </w:rPr>
        <w:t>为主，光伏</w:t>
      </w:r>
      <w:r>
        <w:t>行业发展初期，多晶硅电池片价格优势明显，市场占有率颇高，</w:t>
      </w:r>
      <w:r>
        <w:rPr>
          <w:rFonts w:hint="eastAsia"/>
        </w:rPr>
        <w:t>近几年</w:t>
      </w:r>
      <w:r>
        <w:t>受多晶硅市场膨胀，产能积压影响，以及单晶硅的价格下降</w:t>
      </w:r>
      <w:r>
        <w:rPr>
          <w:rFonts w:hint="eastAsia"/>
        </w:rPr>
        <w:t>和</w:t>
      </w:r>
      <w:r>
        <w:t>国家对电站的技术先进性提出</w:t>
      </w:r>
      <w:r>
        <w:rPr>
          <w:rFonts w:hint="eastAsia"/>
        </w:rPr>
        <w:t>的</w:t>
      </w:r>
      <w:r>
        <w:t>更高</w:t>
      </w:r>
      <w:r>
        <w:rPr>
          <w:rFonts w:hint="eastAsia"/>
        </w:rPr>
        <w:t>要求</w:t>
      </w:r>
      <w:r>
        <w:t>，促使单晶硅的市场占有率逐步提升，</w:t>
      </w:r>
      <w:r>
        <w:rPr>
          <w:rFonts w:hint="eastAsia"/>
        </w:rPr>
        <w:t>数据显示</w:t>
      </w:r>
      <w:r>
        <w:t>，截</w:t>
      </w:r>
      <w:r>
        <w:rPr>
          <w:rFonts w:hint="eastAsia"/>
        </w:rPr>
        <w:t>至2015年底</w:t>
      </w:r>
      <w:r>
        <w:t>，全球单晶电池总产能超过</w:t>
      </w:r>
      <w:r>
        <w:rPr>
          <w:rFonts w:hint="eastAsia"/>
        </w:rPr>
        <w:t>16GW。未来</w:t>
      </w:r>
      <w:r>
        <w:t>市场对高效电池的需求度会持续上升，</w:t>
      </w:r>
      <w:r>
        <w:rPr>
          <w:rFonts w:hint="eastAsia"/>
        </w:rPr>
        <w:t>PERC、N型</w:t>
      </w:r>
      <w:r>
        <w:t>等新型高效电池会</w:t>
      </w:r>
      <w:r>
        <w:rPr>
          <w:rFonts w:hint="eastAsia"/>
        </w:rPr>
        <w:t>成为</w:t>
      </w:r>
      <w:r>
        <w:t>电池发展中心，逐步提高市场占有率，</w:t>
      </w:r>
      <w:r>
        <w:rPr>
          <w:rFonts w:hint="eastAsia"/>
        </w:rPr>
        <w:t>同时</w:t>
      </w:r>
      <w:r>
        <w:t>，生产</w:t>
      </w:r>
      <w:r>
        <w:rPr>
          <w:rFonts w:hint="eastAsia"/>
        </w:rPr>
        <w:t>成本</w:t>
      </w:r>
      <w:r>
        <w:t>会持续降低</w:t>
      </w:r>
      <w:r>
        <w:rPr>
          <w:rFonts w:hint="eastAsia"/>
        </w:rPr>
        <w:t>。</w:t>
      </w:r>
    </w:p>
    <w:p>
      <w:pPr>
        <w:pStyle w:val="128"/>
      </w:pPr>
      <w:r>
        <w:rPr>
          <w:rFonts w:hint="eastAsia"/>
        </w:rPr>
        <w:t>（4）组件</w:t>
      </w:r>
    </w:p>
    <w:p>
      <w:pPr>
        <w:pStyle w:val="128"/>
      </w:pPr>
      <w:r>
        <w:rPr>
          <w:rFonts w:hint="eastAsia"/>
        </w:rPr>
        <w:t>2015年</w:t>
      </w:r>
      <w:r>
        <w:t>我国组件生产规模进一步增大，</w:t>
      </w:r>
      <w:r>
        <w:rPr>
          <w:rFonts w:hint="eastAsia"/>
        </w:rPr>
        <w:t>组件</w:t>
      </w:r>
      <w:r>
        <w:t>企业的布局基本与电池片生产企业布局一致，主要集中在</w:t>
      </w:r>
      <w:r>
        <w:rPr>
          <w:rFonts w:hint="eastAsia"/>
        </w:rPr>
        <w:t>东部沿海地区</w:t>
      </w:r>
      <w:r>
        <w:t>，产量最大的为江苏省，总产能达到</w:t>
      </w:r>
      <w:r>
        <w:rPr>
          <w:rFonts w:hint="eastAsia"/>
        </w:rPr>
        <w:t>31GW。2015年的</w:t>
      </w:r>
      <w:r>
        <w:t>组件生产成本持续下降，</w:t>
      </w:r>
      <w:r>
        <w:rPr>
          <w:rFonts w:hint="eastAsia"/>
        </w:rPr>
        <w:t>目前</w:t>
      </w:r>
      <w:r>
        <w:t>组件厂商</w:t>
      </w:r>
      <w:r>
        <w:rPr>
          <w:rFonts w:hint="eastAsia"/>
        </w:rPr>
        <w:t>主要</w:t>
      </w:r>
      <w:r>
        <w:t>从成本控制和提升产品转换效率两个方面入手，保证利润实现或亏损减小，有的企业</w:t>
      </w:r>
      <w:r>
        <w:rPr>
          <w:rFonts w:hint="eastAsia"/>
        </w:rPr>
        <w:t>开始</w:t>
      </w:r>
      <w:r>
        <w:t>进入下游电站开发，以更好的调控组件生产及出货，同时垂直整合产业链利润。</w:t>
      </w:r>
    </w:p>
    <w:p>
      <w:pPr>
        <w:pStyle w:val="129"/>
      </w:pPr>
      <w:r>
        <w:drawing>
          <wp:inline distT="0" distB="0" distL="0" distR="0">
            <wp:extent cx="4584700" cy="2755900"/>
            <wp:effectExtent l="0" t="0" r="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4584700" cy="2755900"/>
                    </a:xfrm>
                    <a:prstGeom prst="rect">
                      <a:avLst/>
                    </a:prstGeom>
                    <a:noFill/>
                  </pic:spPr>
                </pic:pic>
              </a:graphicData>
            </a:graphic>
          </wp:inline>
        </w:drawing>
      </w:r>
    </w:p>
    <w:p>
      <w:pPr>
        <w:pStyle w:val="137"/>
      </w:pPr>
      <w:r>
        <w:rPr>
          <w:rFonts w:hint="eastAsia"/>
        </w:rPr>
        <w:t>组件中</w:t>
      </w:r>
      <w:r>
        <w:t>各种原材料成本构成</w:t>
      </w:r>
    </w:p>
    <w:p>
      <w:pPr>
        <w:pStyle w:val="128"/>
      </w:pPr>
      <w:r>
        <w:rPr>
          <w:rFonts w:hint="eastAsia"/>
        </w:rPr>
        <w:t>组件</w:t>
      </w:r>
      <w:r>
        <w:t>环节的技术门槛低，投资密度小，能够根据市场需求随时调节产品产量</w:t>
      </w:r>
      <w:r>
        <w:rPr>
          <w:rFonts w:hint="eastAsia"/>
        </w:rPr>
        <w:t>。组件</w:t>
      </w:r>
      <w:r>
        <w:t>的成本主要有硅料成本和非</w:t>
      </w:r>
      <w:r>
        <w:rPr>
          <w:rFonts w:hint="eastAsia"/>
        </w:rPr>
        <w:t>硅</w:t>
      </w:r>
      <w:r>
        <w:t>成本构成</w:t>
      </w:r>
      <w:r>
        <w:rPr>
          <w:rFonts w:hint="eastAsia"/>
        </w:rPr>
        <w:t>，</w:t>
      </w:r>
      <w:r>
        <w:t>硅片</w:t>
      </w:r>
      <w:r>
        <w:rPr>
          <w:rFonts w:hint="eastAsia"/>
        </w:rPr>
        <w:t>成本</w:t>
      </w:r>
      <w:r>
        <w:t>约占组件成本的</w:t>
      </w:r>
      <w:r>
        <w:rPr>
          <w:rFonts w:hint="eastAsia"/>
        </w:rPr>
        <w:t>40</w:t>
      </w:r>
      <w:r>
        <w:t>%，</w:t>
      </w:r>
      <w:r>
        <w:rPr>
          <w:rFonts w:hint="eastAsia"/>
        </w:rPr>
        <w:t>背板</w:t>
      </w:r>
      <w:r>
        <w:t>、边框、玻璃</w:t>
      </w:r>
      <w:r>
        <w:rPr>
          <w:rFonts w:hint="eastAsia"/>
        </w:rPr>
        <w:t>、</w:t>
      </w:r>
      <w:r>
        <w:t>制造等</w:t>
      </w:r>
      <w:r>
        <w:rPr>
          <w:rFonts w:hint="eastAsia"/>
        </w:rPr>
        <w:t>非硅</w:t>
      </w:r>
      <w:r>
        <w:t>成本占比约</w:t>
      </w:r>
      <w:r>
        <w:rPr>
          <w:rFonts w:hint="eastAsia"/>
        </w:rPr>
        <w:t>为</w:t>
      </w:r>
      <w:r>
        <w:t>3%-12%</w:t>
      </w:r>
      <w:r>
        <w:rPr>
          <w:rFonts w:hint="eastAsia"/>
        </w:rPr>
        <w:t>，由于</w:t>
      </w:r>
      <w:r>
        <w:t>近几年光伏市场的快速发展，</w:t>
      </w:r>
      <w:r>
        <w:rPr>
          <w:rFonts w:hint="eastAsia"/>
        </w:rPr>
        <w:t>硅料、</w:t>
      </w:r>
      <w:r>
        <w:t>玻璃等各种原辅材料供应充足，基本上处于产能过剩状态，</w:t>
      </w:r>
      <w:r>
        <w:rPr>
          <w:rFonts w:hint="eastAsia"/>
        </w:rPr>
        <w:t>组件</w:t>
      </w:r>
      <w:r>
        <w:t>企业的议价能力较强，从目前的原辅材料价格和成本看，价格下降空间较小，未来组件仍然是以高性价比的高效太阳能电池组件为主要发展方向，</w:t>
      </w:r>
      <w:r>
        <w:rPr>
          <w:rFonts w:hint="eastAsia"/>
        </w:rPr>
        <w:t>组件</w:t>
      </w:r>
      <w:r>
        <w:t>产品呈现多样化、高效化、智能化的发展趋势。</w:t>
      </w:r>
    </w:p>
    <w:p>
      <w:pPr>
        <w:pStyle w:val="128"/>
      </w:pPr>
      <w:r>
        <w:rPr>
          <w:rFonts w:hint="eastAsia"/>
        </w:rPr>
        <w:t>（5）光伏设备</w:t>
      </w:r>
    </w:p>
    <w:p>
      <w:pPr>
        <w:pStyle w:val="128"/>
      </w:pPr>
      <w:r>
        <w:rPr>
          <w:rFonts w:hint="eastAsia"/>
        </w:rPr>
        <w:t>光伏设备</w:t>
      </w:r>
      <w:r>
        <w:t>指光伏制造企业用于生产原料、电池组件、零部件等产品中使用的，并在反复使用中保持原有实物形态和功能的机械设备。光伏设备</w:t>
      </w:r>
      <w:r>
        <w:rPr>
          <w:rFonts w:hint="eastAsia"/>
        </w:rPr>
        <w:t>主要</w:t>
      </w:r>
      <w:r>
        <w:t>包括硅棒</w:t>
      </w:r>
      <w:r>
        <w:rPr>
          <w:rFonts w:hint="eastAsia"/>
        </w:rPr>
        <w:t>/硅锭</w:t>
      </w:r>
      <w:r>
        <w:t>制造设备、硅片制造设备、电池片</w:t>
      </w:r>
      <w:r>
        <w:rPr>
          <w:rFonts w:hint="eastAsia"/>
        </w:rPr>
        <w:t>制造设备</w:t>
      </w:r>
      <w:r>
        <w:t>、晶体硅电池组件制造设备、薄膜组件制造设备等</w:t>
      </w:r>
      <w:r>
        <w:rPr>
          <w:rFonts w:hint="eastAsia"/>
        </w:rPr>
        <w:t>5大类</w:t>
      </w:r>
      <w:r>
        <w:t>，各大类主要包括的设备如下表所示：</w:t>
      </w:r>
    </w:p>
    <w:p>
      <w:pPr>
        <w:pStyle w:val="132"/>
        <w:numPr>
          <w:ilvl w:val="0"/>
          <w:numId w:val="13"/>
        </w:numPr>
      </w:pPr>
      <w:r>
        <w:rPr>
          <w:rFonts w:hint="eastAsia"/>
        </w:rPr>
        <w:t>主要光伏</w:t>
      </w:r>
      <w:r>
        <w:t>设备分类</w:t>
      </w:r>
    </w:p>
    <w:tbl>
      <w:tblPr>
        <w:tblStyle w:val="46"/>
        <w:tblW w:w="833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6"/>
        <w:gridCol w:w="59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76" w:type="dxa"/>
            <w:vAlign w:val="center"/>
          </w:tcPr>
          <w:p>
            <w:pPr>
              <w:pStyle w:val="36"/>
            </w:pPr>
            <w:r>
              <w:rPr>
                <w:rFonts w:hint="eastAsia"/>
              </w:rPr>
              <w:t>生产设备</w:t>
            </w:r>
            <w:r>
              <w:t>领域</w:t>
            </w:r>
          </w:p>
        </w:tc>
        <w:tc>
          <w:tcPr>
            <w:tcW w:w="5954" w:type="dxa"/>
            <w:vAlign w:val="center"/>
          </w:tcPr>
          <w:p>
            <w:pPr>
              <w:pStyle w:val="36"/>
            </w:pPr>
            <w:r>
              <w:rPr>
                <w:rFonts w:hint="eastAsia"/>
              </w:rPr>
              <w:t>设备类型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76" w:type="dxa"/>
            <w:vAlign w:val="center"/>
          </w:tcPr>
          <w:p>
            <w:pPr>
              <w:pStyle w:val="36"/>
            </w:pPr>
            <w:r>
              <w:rPr>
                <w:rFonts w:hint="eastAsia"/>
              </w:rPr>
              <w:t>硅棒</w:t>
            </w:r>
            <w:r>
              <w:t>、硅锭生产设备</w:t>
            </w:r>
          </w:p>
        </w:tc>
        <w:tc>
          <w:tcPr>
            <w:tcW w:w="5954" w:type="dxa"/>
            <w:vAlign w:val="center"/>
          </w:tcPr>
          <w:p>
            <w:pPr>
              <w:pStyle w:val="36"/>
            </w:pPr>
            <w:r>
              <w:rPr>
                <w:rFonts w:hint="eastAsia"/>
              </w:rPr>
              <w:t>铸锭炉</w:t>
            </w:r>
            <w:r>
              <w:t>、单晶炉、检验测试设备、切割研磨设备、其他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76" w:type="dxa"/>
            <w:vAlign w:val="center"/>
          </w:tcPr>
          <w:p>
            <w:pPr>
              <w:pStyle w:val="36"/>
            </w:pPr>
            <w:r>
              <w:rPr>
                <w:rFonts w:hint="eastAsia"/>
              </w:rPr>
              <w:t>硅片生产设备</w:t>
            </w:r>
          </w:p>
        </w:tc>
        <w:tc>
          <w:tcPr>
            <w:tcW w:w="5954" w:type="dxa"/>
            <w:vAlign w:val="center"/>
          </w:tcPr>
          <w:p>
            <w:pPr>
              <w:pStyle w:val="36"/>
            </w:pPr>
            <w:r>
              <w:rPr>
                <w:rFonts w:hint="eastAsia"/>
              </w:rPr>
              <w:t>开方机</w:t>
            </w:r>
            <w:r>
              <w:t>、多线切割机、</w:t>
            </w:r>
            <w:r>
              <w:rPr>
                <w:rFonts w:hint="eastAsia"/>
              </w:rPr>
              <w:t>检验测试设备</w:t>
            </w:r>
            <w:r>
              <w:t>、抛光</w:t>
            </w:r>
            <w:r>
              <w:rPr>
                <w:rFonts w:hint="eastAsia"/>
              </w:rPr>
              <w:t>研磨</w:t>
            </w:r>
            <w:r>
              <w:t>设备、</w:t>
            </w:r>
          </w:p>
          <w:p>
            <w:pPr>
              <w:pStyle w:val="36"/>
            </w:pPr>
            <w:r>
              <w:t>清洗设备、自动分拣设备、其他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76" w:type="dxa"/>
            <w:vAlign w:val="center"/>
          </w:tcPr>
          <w:p>
            <w:pPr>
              <w:pStyle w:val="36"/>
            </w:pPr>
            <w:r>
              <w:rPr>
                <w:rFonts w:hint="eastAsia"/>
              </w:rPr>
              <w:t>电池片</w:t>
            </w:r>
            <w:r>
              <w:t>生产设备</w:t>
            </w:r>
          </w:p>
        </w:tc>
        <w:tc>
          <w:tcPr>
            <w:tcW w:w="5954" w:type="dxa"/>
            <w:vAlign w:val="center"/>
          </w:tcPr>
          <w:p>
            <w:pPr>
              <w:pStyle w:val="36"/>
            </w:pPr>
            <w:r>
              <w:rPr>
                <w:rFonts w:hint="eastAsia"/>
              </w:rPr>
              <w:t>制绒机</w:t>
            </w:r>
            <w:r>
              <w:t>、清洗机、扩散炉、</w:t>
            </w:r>
            <w:r>
              <w:rPr>
                <w:rFonts w:hint="eastAsia"/>
              </w:rPr>
              <w:t>PECVD、</w:t>
            </w:r>
            <w:r>
              <w:t>烧结炉、丝网印刷机、</w:t>
            </w:r>
          </w:p>
          <w:p>
            <w:pPr>
              <w:pStyle w:val="36"/>
            </w:pPr>
            <w:r>
              <w:t>检测设备、其他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76" w:type="dxa"/>
            <w:vAlign w:val="center"/>
          </w:tcPr>
          <w:p>
            <w:pPr>
              <w:pStyle w:val="36"/>
            </w:pPr>
            <w:r>
              <w:rPr>
                <w:rFonts w:hint="eastAsia"/>
              </w:rPr>
              <w:t>晶硅</w:t>
            </w:r>
            <w:r>
              <w:t>电池组件制造设备</w:t>
            </w:r>
          </w:p>
        </w:tc>
        <w:tc>
          <w:tcPr>
            <w:tcW w:w="5954" w:type="dxa"/>
            <w:vAlign w:val="center"/>
          </w:tcPr>
          <w:p>
            <w:pPr>
              <w:pStyle w:val="36"/>
            </w:pPr>
            <w:r>
              <w:rPr>
                <w:rFonts w:hint="eastAsia"/>
              </w:rPr>
              <w:t>层压机</w:t>
            </w:r>
            <w:r>
              <w:t>、自动焊接机、切割划线设备、组框组角机、其他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376" w:type="dxa"/>
            <w:vAlign w:val="center"/>
          </w:tcPr>
          <w:p>
            <w:pPr>
              <w:pStyle w:val="36"/>
            </w:pPr>
            <w:r>
              <w:rPr>
                <w:rFonts w:hint="eastAsia"/>
              </w:rPr>
              <w:t>薄膜组件</w:t>
            </w:r>
            <w:r>
              <w:t>制造设备</w:t>
            </w:r>
          </w:p>
        </w:tc>
        <w:tc>
          <w:tcPr>
            <w:tcW w:w="5954" w:type="dxa"/>
            <w:vAlign w:val="center"/>
          </w:tcPr>
          <w:p>
            <w:pPr>
              <w:pStyle w:val="36"/>
            </w:pPr>
            <w:r>
              <w:rPr>
                <w:rFonts w:hint="eastAsia"/>
              </w:rPr>
              <w:t>CVD、PECVD、PVD、</w:t>
            </w:r>
            <w:r>
              <w:t>清洗设备、激光刻划机、层压机、其他</w:t>
            </w:r>
          </w:p>
        </w:tc>
      </w:tr>
    </w:tbl>
    <w:p>
      <w:pPr>
        <w:pStyle w:val="128"/>
      </w:pPr>
    </w:p>
    <w:p>
      <w:pPr>
        <w:pStyle w:val="128"/>
      </w:pPr>
      <w:r>
        <w:rPr>
          <w:rFonts w:hint="eastAsia"/>
        </w:rPr>
        <w:t>2015年</w:t>
      </w:r>
      <w:r>
        <w:t>我国光伏设备行业总营收入约为</w:t>
      </w:r>
      <w:r>
        <w:rPr>
          <w:rFonts w:hint="eastAsia"/>
        </w:rPr>
        <w:t>51.5亿元</w:t>
      </w:r>
      <w:r>
        <w:t>。全国</w:t>
      </w:r>
      <w:r>
        <w:rPr>
          <w:rFonts w:hint="eastAsia"/>
        </w:rPr>
        <w:t>光伏</w:t>
      </w:r>
      <w:r>
        <w:t>设备相关企业数量达到</w:t>
      </w:r>
      <w:r>
        <w:rPr>
          <w:rFonts w:hint="eastAsia"/>
        </w:rPr>
        <w:t>80家</w:t>
      </w:r>
      <w:r>
        <w:t>以上，从业人员超过</w:t>
      </w:r>
      <w:r>
        <w:rPr>
          <w:rFonts w:hint="eastAsia"/>
        </w:rPr>
        <w:t>8000人</w:t>
      </w:r>
      <w:r>
        <w:t>。</w:t>
      </w:r>
      <w:r>
        <w:rPr>
          <w:rFonts w:hint="eastAsia"/>
        </w:rPr>
        <w:t>总体来看</w:t>
      </w:r>
      <w:r>
        <w:t>，由于</w:t>
      </w:r>
      <w:r>
        <w:rPr>
          <w:rFonts w:hint="eastAsia"/>
        </w:rPr>
        <w:t>2015年</w:t>
      </w:r>
      <w:r>
        <w:t>光伏产业市场回暖，光伏制造各环节相继扩产，产线升级和改造的需求较大</w:t>
      </w:r>
      <w:r>
        <w:rPr>
          <w:rFonts w:hint="eastAsia"/>
        </w:rPr>
        <w:t>。</w:t>
      </w:r>
      <w:r>
        <w:t>目前</w:t>
      </w:r>
      <w:r>
        <w:rPr>
          <w:rFonts w:hint="eastAsia"/>
        </w:rPr>
        <w:t>，</w:t>
      </w:r>
      <w:r>
        <w:t>我国光伏设备企业从硅材料生产、硅片加工、光伏电池片、组件的生产以及相应的纯水制备、环保处理、净化工程的建设、以及与光伏产业链相应的检测设备、模拟器等，已经具备成套供应能力，部分产品如扩散炉、管式</w:t>
      </w:r>
      <w:r>
        <w:rPr>
          <w:rFonts w:hint="eastAsia"/>
        </w:rPr>
        <w:t>PECVD、</w:t>
      </w:r>
      <w:r>
        <w:t>单晶炉、多晶铸锭炉、层压机、</w:t>
      </w:r>
      <w:r>
        <w:rPr>
          <w:rFonts w:hint="eastAsia"/>
        </w:rPr>
        <w:t>检测设备等</w:t>
      </w:r>
      <w:r>
        <w:t>已有不同程度的出口。</w:t>
      </w:r>
      <w:r>
        <w:rPr>
          <w:rFonts w:hint="eastAsia"/>
        </w:rPr>
        <w:t>未来</w:t>
      </w:r>
      <w:r>
        <w:t>，</w:t>
      </w:r>
      <w:r>
        <w:rPr>
          <w:rFonts w:hint="eastAsia"/>
        </w:rPr>
        <w:t>“大尺寸、</w:t>
      </w:r>
      <w:r>
        <w:t>自动化、高产能</w:t>
      </w:r>
      <w:r>
        <w:rPr>
          <w:rFonts w:hint="eastAsia"/>
        </w:rPr>
        <w:t>”等</w:t>
      </w:r>
      <w:r>
        <w:t>高档设备市场广阔，</w:t>
      </w:r>
      <w:r>
        <w:rPr>
          <w:rFonts w:hint="eastAsia"/>
        </w:rPr>
        <w:t>与“大半导体”的</w:t>
      </w:r>
      <w:r>
        <w:t>结合将更加紧密，</w:t>
      </w:r>
      <w:r>
        <w:rPr>
          <w:rFonts w:hint="eastAsia"/>
        </w:rPr>
        <w:t>同时</w:t>
      </w:r>
      <w:r>
        <w:t>，设备研制与工艺开发集合会越来越紧密，</w:t>
      </w:r>
      <w:r>
        <w:rPr>
          <w:rFonts w:hint="eastAsia"/>
        </w:rPr>
        <w:t>在“互联网+”和“中国制造2025”发展战略</w:t>
      </w:r>
      <w:r>
        <w:t>的推动下，设备正在从</w:t>
      </w:r>
      <w:r>
        <w:rPr>
          <w:rFonts w:hint="eastAsia"/>
        </w:rPr>
        <w:t>“</w:t>
      </w:r>
      <w:r>
        <w:t>光伏制造</w:t>
      </w:r>
      <w:r>
        <w:rPr>
          <w:rFonts w:hint="eastAsia"/>
        </w:rPr>
        <w:t>”</w:t>
      </w:r>
      <w:r>
        <w:t>向</w:t>
      </w:r>
      <w:r>
        <w:rPr>
          <w:rFonts w:hint="eastAsia"/>
        </w:rPr>
        <w:t>“光伏智造”转变。</w:t>
      </w:r>
    </w:p>
    <w:p>
      <w:pPr>
        <w:pStyle w:val="128"/>
      </w:pPr>
      <w:r>
        <w:rPr>
          <w:rFonts w:hint="eastAsia"/>
        </w:rPr>
        <w:t>（6）光伏辅料</w:t>
      </w:r>
      <w:r>
        <w:t>及系统部件</w:t>
      </w:r>
    </w:p>
    <w:p>
      <w:pPr>
        <w:pStyle w:val="128"/>
      </w:pPr>
      <w:r>
        <w:rPr>
          <w:rFonts w:hint="eastAsia"/>
        </w:rPr>
        <w:t>光伏</w:t>
      </w:r>
      <w:r>
        <w:t>辅料包括光伏浆料、</w:t>
      </w:r>
      <w:r>
        <w:rPr>
          <w:rFonts w:hint="eastAsia"/>
        </w:rPr>
        <w:t>光伏</w:t>
      </w:r>
      <w:r>
        <w:t>背板、</w:t>
      </w:r>
      <w:r>
        <w:rPr>
          <w:rFonts w:hint="eastAsia"/>
        </w:rPr>
        <w:t>光伏EVA胶膜、光伏玻璃等，</w:t>
      </w:r>
      <w:r>
        <w:t>系统部件主要是应用领域的光伏铝边框</w:t>
      </w:r>
      <w:r>
        <w:rPr>
          <w:rFonts w:hint="eastAsia"/>
        </w:rPr>
        <w:t>和</w:t>
      </w:r>
      <w:r>
        <w:t>支架</w:t>
      </w:r>
      <w:r>
        <w:rPr>
          <w:rFonts w:hint="eastAsia"/>
        </w:rPr>
        <w:t>、</w:t>
      </w:r>
      <w:r>
        <w:t>逆变器</w:t>
      </w:r>
      <w:r>
        <w:rPr>
          <w:rFonts w:hint="eastAsia"/>
        </w:rPr>
        <w:t>等</w:t>
      </w:r>
      <w:r>
        <w:t>。</w:t>
      </w:r>
    </w:p>
    <w:p>
      <w:pPr>
        <w:pStyle w:val="128"/>
        <w:numPr>
          <w:ilvl w:val="0"/>
          <w:numId w:val="14"/>
        </w:numPr>
        <w:ind w:firstLineChars="0"/>
      </w:pPr>
      <w:r>
        <w:rPr>
          <w:rFonts w:hint="eastAsia"/>
        </w:rPr>
        <w:t>光伏</w:t>
      </w:r>
      <w:r>
        <w:t>浆料</w:t>
      </w:r>
    </w:p>
    <w:p>
      <w:pPr>
        <w:pStyle w:val="128"/>
      </w:pPr>
      <w:r>
        <w:rPr>
          <w:rFonts w:hint="eastAsia"/>
        </w:rPr>
        <w:t>目前晶体硅</w:t>
      </w:r>
      <w:r>
        <w:t>太阳能电池的浆料有背面铝浆、正面</w:t>
      </w:r>
      <w:r>
        <w:rPr>
          <w:rFonts w:hint="eastAsia"/>
        </w:rPr>
        <w:t>银浆</w:t>
      </w:r>
      <w:r>
        <w:t>、背面银浆（</w:t>
      </w:r>
      <w:r>
        <w:rPr>
          <w:rFonts w:hint="eastAsia"/>
        </w:rPr>
        <w:t>或</w:t>
      </w:r>
      <w:r>
        <w:t>银铝浆）</w:t>
      </w:r>
      <w:r>
        <w:rPr>
          <w:rFonts w:hint="eastAsia"/>
        </w:rPr>
        <w:t>等</w:t>
      </w:r>
      <w:r>
        <w:t>三种</w:t>
      </w:r>
      <w:r>
        <w:rPr>
          <w:rFonts w:hint="eastAsia"/>
        </w:rPr>
        <w:t>。</w:t>
      </w:r>
      <w:r>
        <w:t>浆料</w:t>
      </w:r>
      <w:r>
        <w:rPr>
          <w:rFonts w:hint="eastAsia"/>
        </w:rPr>
        <w:t>是</w:t>
      </w:r>
      <w:r>
        <w:t>除了硅材料之外，影响晶硅太阳能电池成本最关键的材料，占晶硅太阳能电池总成本的</w:t>
      </w:r>
      <w:r>
        <w:rPr>
          <w:rFonts w:hint="eastAsia"/>
        </w:rPr>
        <w:t>14</w:t>
      </w:r>
      <w:r>
        <w:t>%左右。</w:t>
      </w:r>
      <w:r>
        <w:rPr>
          <w:rFonts w:hint="eastAsia"/>
        </w:rPr>
        <w:t>目前</w:t>
      </w:r>
      <w:r>
        <w:t>国内铝浆供应已经完全实现国产化，</w:t>
      </w:r>
      <w:r>
        <w:rPr>
          <w:rFonts w:hint="eastAsia"/>
        </w:rPr>
        <w:t>国内</w:t>
      </w:r>
      <w:r>
        <w:t>背银市场由外资企业主导地位的局面已经被打破，</w:t>
      </w:r>
      <w:r>
        <w:rPr>
          <w:rFonts w:hint="eastAsia"/>
        </w:rPr>
        <w:t>而</w:t>
      </w:r>
      <w:r>
        <w:t>正面银浆</w:t>
      </w:r>
      <w:r>
        <w:rPr>
          <w:rFonts w:hint="eastAsia"/>
        </w:rPr>
        <w:t>尚未</w:t>
      </w:r>
      <w:r>
        <w:t>实现国产化替代，供应商仍以外资企业为主</w:t>
      </w:r>
      <w:r>
        <w:rPr>
          <w:rFonts w:hint="eastAsia"/>
        </w:rPr>
        <w:t>。未来</w:t>
      </w:r>
      <w:r>
        <w:t>，光伏浆料行业的国产化进程将进一步加快，高效电池浆料产品成为热点，</w:t>
      </w:r>
      <w:r>
        <w:rPr>
          <w:rFonts w:hint="eastAsia"/>
        </w:rPr>
        <w:t>随着电池片</w:t>
      </w:r>
      <w:r>
        <w:t>价格的大幅下滑，浆料所占成本比例逐渐上升，电池企业将会与银浆企业相互合作，大幅降低单位耗银量以节约成本。</w:t>
      </w:r>
    </w:p>
    <w:p>
      <w:pPr>
        <w:pStyle w:val="128"/>
        <w:numPr>
          <w:ilvl w:val="0"/>
          <w:numId w:val="14"/>
        </w:numPr>
        <w:ind w:firstLineChars="0"/>
      </w:pPr>
      <w:r>
        <w:rPr>
          <w:rFonts w:hint="eastAsia"/>
        </w:rPr>
        <w:t>光伏背板</w:t>
      </w:r>
    </w:p>
    <w:p>
      <w:pPr>
        <w:pStyle w:val="128"/>
      </w:pPr>
      <w:r>
        <w:rPr>
          <w:rFonts w:hint="eastAsia"/>
        </w:rPr>
        <w:t>光伏背板</w:t>
      </w:r>
      <w:r>
        <w:t>也</w:t>
      </w:r>
      <w:r>
        <w:rPr>
          <w:rFonts w:hint="eastAsia"/>
        </w:rPr>
        <w:t>称为</w:t>
      </w:r>
      <w:r>
        <w:t>太阳能</w:t>
      </w:r>
      <w:r>
        <w:rPr>
          <w:rFonts w:hint="eastAsia"/>
        </w:rPr>
        <w:t>电池背板</w:t>
      </w:r>
      <w:r>
        <w:t>、太阳能电池背板膜、光伏背板膜、</w:t>
      </w:r>
      <w:r>
        <w:rPr>
          <w:rFonts w:hint="eastAsia"/>
        </w:rPr>
        <w:t>太阳能背板</w:t>
      </w:r>
      <w:r>
        <w:t>，是一种位于太阳能电池组件背面的光伏封装材料</w:t>
      </w:r>
      <w:r>
        <w:rPr>
          <w:rFonts w:hint="eastAsia"/>
        </w:rPr>
        <w:t>，</w:t>
      </w:r>
      <w:r>
        <w:t>光伏背板的原材料主要有</w:t>
      </w:r>
      <w:r>
        <w:rPr>
          <w:rFonts w:hint="eastAsia"/>
        </w:rPr>
        <w:t>PET基膜、</w:t>
      </w:r>
      <w:r>
        <w:t>氟材料和胶黏剂。</w:t>
      </w:r>
      <w:r>
        <w:rPr>
          <w:rFonts w:hint="eastAsia"/>
        </w:rPr>
        <w:t>目前</w:t>
      </w:r>
      <w:r>
        <w:t>背板行业整体利润率保持在较高水平，</w:t>
      </w:r>
      <w:r>
        <w:rPr>
          <w:rFonts w:hint="eastAsia"/>
        </w:rPr>
        <w:t>我国</w:t>
      </w:r>
      <w:r>
        <w:t>背板企业总设计产能约占需求量的</w:t>
      </w:r>
      <w:r>
        <w:rPr>
          <w:rFonts w:hint="eastAsia"/>
        </w:rPr>
        <w:t>60</w:t>
      </w:r>
      <w:r>
        <w:t>%，</w:t>
      </w:r>
      <w:r>
        <w:rPr>
          <w:rFonts w:hint="eastAsia"/>
        </w:rPr>
        <w:t>已经</w:t>
      </w:r>
      <w:r>
        <w:t>初步实现了国产化</w:t>
      </w:r>
      <w:r>
        <w:rPr>
          <w:rFonts w:hint="eastAsia"/>
        </w:rPr>
        <w:t>。</w:t>
      </w:r>
      <w:r>
        <w:t>国内公司生产的背板选用的材料及结构都有差异，</w:t>
      </w:r>
      <w:r>
        <w:rPr>
          <w:rFonts w:hint="eastAsia"/>
        </w:rPr>
        <w:t>使得</w:t>
      </w:r>
      <w:r>
        <w:t>市场上充斥着各种背板产品</w:t>
      </w:r>
      <w:r>
        <w:rPr>
          <w:rFonts w:hint="eastAsia"/>
        </w:rPr>
        <w:t>，</w:t>
      </w:r>
      <w:r>
        <w:t>导致背板市场价格高低不一，从</w:t>
      </w:r>
      <w:r>
        <w:rPr>
          <w:rFonts w:hint="eastAsia"/>
        </w:rPr>
        <w:t>10元/m</w:t>
      </w:r>
      <w:r>
        <w:rPr>
          <w:vertAlign w:val="superscript"/>
        </w:rPr>
        <w:t>2</w:t>
      </w:r>
      <w:r>
        <w:t>到5</w:t>
      </w:r>
      <w:r>
        <w:rPr>
          <w:rFonts w:hint="eastAsia"/>
        </w:rPr>
        <w:t>0元/m</w:t>
      </w:r>
      <w:r>
        <w:rPr>
          <w:vertAlign w:val="superscript"/>
        </w:rPr>
        <w:t>2</w:t>
      </w:r>
      <w:r>
        <w:rPr>
          <w:rFonts w:hint="eastAsia"/>
        </w:rPr>
        <w:t>不等。</w:t>
      </w:r>
      <w:r>
        <w:t>其次，质量</w:t>
      </w:r>
      <w:r>
        <w:rPr>
          <w:rFonts w:hint="eastAsia"/>
        </w:rPr>
        <w:t>参差不齐</w:t>
      </w:r>
      <w:r>
        <w:t>，虽然背板已经实现了国产化，但关键材料核心技术门槛高，并不是所有企业都能掌握，且大部分为国外材料供应商垄断</w:t>
      </w:r>
      <w:r>
        <w:rPr>
          <w:rFonts w:hint="eastAsia"/>
        </w:rPr>
        <w:t>，</w:t>
      </w:r>
      <w:r>
        <w:t>进口替代空间依然很大。</w:t>
      </w:r>
    </w:p>
    <w:p>
      <w:pPr>
        <w:pStyle w:val="128"/>
        <w:numPr>
          <w:ilvl w:val="0"/>
          <w:numId w:val="14"/>
        </w:numPr>
        <w:ind w:firstLineChars="0"/>
      </w:pPr>
      <w:r>
        <w:t>光伏</w:t>
      </w:r>
      <w:r>
        <w:rPr>
          <w:rFonts w:hint="eastAsia"/>
        </w:rPr>
        <w:t>EVA胶膜</w:t>
      </w:r>
    </w:p>
    <w:p>
      <w:pPr>
        <w:pStyle w:val="128"/>
      </w:pPr>
      <w:r>
        <w:rPr>
          <w:rFonts w:hint="eastAsia"/>
        </w:rPr>
        <w:t>EVA胶膜</w:t>
      </w:r>
      <w:r>
        <w:t>是光伏组件最主要的封装材料</w:t>
      </w:r>
      <w:r>
        <w:rPr>
          <w:rFonts w:hint="eastAsia"/>
        </w:rPr>
        <w:t>，</w:t>
      </w:r>
      <w:r>
        <w:t>其生产的主要原料为</w:t>
      </w:r>
      <w:r>
        <w:rPr>
          <w:rFonts w:hint="eastAsia"/>
        </w:rPr>
        <w:t>EVA树脂（VA含量28</w:t>
      </w:r>
      <w:r>
        <w:t>%</w:t>
      </w:r>
      <w:r>
        <w:rPr>
          <w:rFonts w:hint="eastAsia" w:hAnsi="宋体"/>
        </w:rPr>
        <w:t>～</w:t>
      </w:r>
      <w:r>
        <w:t>33%左右</w:t>
      </w:r>
      <w:r>
        <w:rPr>
          <w:rFonts w:hint="eastAsia"/>
        </w:rPr>
        <w:t>），原材料</w:t>
      </w:r>
      <w:r>
        <w:t>成本占总成本的</w:t>
      </w:r>
      <w:r>
        <w:rPr>
          <w:rFonts w:hint="eastAsia"/>
        </w:rPr>
        <w:t>80</w:t>
      </w:r>
      <w:r>
        <w:t>%以上。</w:t>
      </w:r>
      <w:r>
        <w:rPr>
          <w:rFonts w:hint="eastAsia"/>
        </w:rPr>
        <w:t>经过</w:t>
      </w:r>
      <w:r>
        <w:t>近几年的发展，</w:t>
      </w:r>
      <w:r>
        <w:rPr>
          <w:rFonts w:hint="eastAsia"/>
        </w:rPr>
        <w:t>我国光伏EVA胶膜</w:t>
      </w:r>
      <w:r>
        <w:t>已完全实现国产化，自给率已达到</w:t>
      </w:r>
      <w:r>
        <w:rPr>
          <w:rFonts w:hint="eastAsia"/>
        </w:rPr>
        <w:t>95</w:t>
      </w:r>
      <w:r>
        <w:t>%以上，国内厂商已占据主导地位，并在产品质量方面占据优势。</w:t>
      </w:r>
      <w:r>
        <w:rPr>
          <w:rFonts w:hint="eastAsia"/>
        </w:rPr>
        <w:t>但</w:t>
      </w:r>
      <w:r>
        <w:t>国内</w:t>
      </w:r>
      <w:r>
        <w:rPr>
          <w:rFonts w:hint="eastAsia"/>
        </w:rPr>
        <w:t>EVA树脂</w:t>
      </w:r>
      <w:r>
        <w:t>生产商的产品大多为中低端产品，光伏级</w:t>
      </w:r>
      <w:r>
        <w:rPr>
          <w:rFonts w:hint="eastAsia"/>
        </w:rPr>
        <w:t>EVA树脂</w:t>
      </w:r>
      <w:r>
        <w:t>依然主要依赖进口</w:t>
      </w:r>
      <w:r>
        <w:rPr>
          <w:rFonts w:hint="eastAsia"/>
        </w:rPr>
        <w:t>。同时</w:t>
      </w:r>
      <w:r>
        <w:t>，受供求关系影响，光伏</w:t>
      </w:r>
      <w:r>
        <w:rPr>
          <w:rFonts w:hint="eastAsia"/>
        </w:rPr>
        <w:t>EVA胶膜</w:t>
      </w:r>
      <w:r>
        <w:t>价格下降缓慢，行业整体盈利水平较高，据中国光伏行业协会调研显示，行业平均毛利率约为</w:t>
      </w:r>
      <w:r>
        <w:rPr>
          <w:rFonts w:hint="eastAsia"/>
        </w:rPr>
        <w:t>30</w:t>
      </w:r>
      <w:r>
        <w:t>%。</w:t>
      </w:r>
    </w:p>
    <w:p>
      <w:pPr>
        <w:pStyle w:val="128"/>
        <w:numPr>
          <w:ilvl w:val="0"/>
          <w:numId w:val="14"/>
        </w:numPr>
        <w:ind w:firstLineChars="0"/>
      </w:pPr>
      <w:r>
        <w:rPr>
          <w:rFonts w:hint="eastAsia"/>
        </w:rPr>
        <w:t>光伏玻璃</w:t>
      </w:r>
    </w:p>
    <w:p>
      <w:pPr>
        <w:pStyle w:val="128"/>
      </w:pPr>
      <w:r>
        <w:rPr>
          <w:rFonts w:hint="eastAsia"/>
        </w:rPr>
        <w:t>光伏玻璃的</w:t>
      </w:r>
      <w:r>
        <w:t>主要应用领域为晶体硅光伏组件封装用盖板玻璃，以及少量双玻组件的盖板及背板玻璃，目前晶体硅光伏组件用盖板玻璃采用超白压花玻璃，或镀有减反射膜的超薄压花玻璃。</w:t>
      </w:r>
      <w:r>
        <w:rPr>
          <w:rFonts w:hint="eastAsia"/>
        </w:rPr>
        <w:t>国内</w:t>
      </w:r>
      <w:r>
        <w:t>光伏玻璃行业在不到十年的时间</w:t>
      </w:r>
      <w:r>
        <w:rPr>
          <w:rFonts w:hint="eastAsia"/>
        </w:rPr>
        <w:t>，</w:t>
      </w:r>
      <w:r>
        <w:t>从全部依赖进口发展到国内同行竞争激烈，产能过剩导致价格持续走低进入微利阶段，企业规模化发展已成共识</w:t>
      </w:r>
      <w:r>
        <w:rPr>
          <w:rFonts w:hint="eastAsia"/>
        </w:rPr>
        <w:t>。随着</w:t>
      </w:r>
      <w:r>
        <w:t>光伏行业的迅速发展，光电转换效率在经历了早期迅速提升后，由于已逐渐接近理论极限值，突破性技术的研发速度已进入平稳期。未来</w:t>
      </w:r>
      <w:r>
        <w:rPr>
          <w:rFonts w:hint="eastAsia"/>
        </w:rPr>
        <w:t>，</w:t>
      </w:r>
      <w:r>
        <w:t>具有防灰、防尘、防污染、易清洁以及轻质、高强度、高透光性的光伏玻璃将成为未来的发展趋势。</w:t>
      </w:r>
    </w:p>
    <w:p>
      <w:pPr>
        <w:pStyle w:val="128"/>
        <w:numPr>
          <w:ilvl w:val="0"/>
          <w:numId w:val="14"/>
        </w:numPr>
        <w:ind w:firstLineChars="0"/>
      </w:pPr>
      <w:r>
        <w:t>光伏铝边框和支架</w:t>
      </w:r>
    </w:p>
    <w:p>
      <w:pPr>
        <w:pStyle w:val="128"/>
      </w:pPr>
      <w:r>
        <w:rPr>
          <w:rFonts w:hint="eastAsia"/>
        </w:rPr>
        <w:t>在</w:t>
      </w:r>
      <w:r>
        <w:t>市场需求的带动下，近年来中国边框产业蓬勃发展，产能迅速扩充，整个中国的供应量已经占据全球边框需求的</w:t>
      </w:r>
      <w:r>
        <w:rPr>
          <w:rFonts w:hint="eastAsia"/>
        </w:rPr>
        <w:t>80</w:t>
      </w:r>
      <w:r>
        <w:t>%。</w:t>
      </w:r>
      <w:r>
        <w:rPr>
          <w:rFonts w:hint="eastAsia"/>
        </w:rPr>
        <w:t>未来</w:t>
      </w:r>
      <w:r>
        <w:t>光伏边框的发展趋势为小尺寸轻量化、</w:t>
      </w:r>
      <w:r>
        <w:rPr>
          <w:rFonts w:hint="eastAsia"/>
        </w:rPr>
        <w:t>易安装</w:t>
      </w:r>
      <w:r>
        <w:t>边框</w:t>
      </w:r>
      <w:r>
        <w:rPr>
          <w:rFonts w:hint="eastAsia"/>
        </w:rPr>
        <w:t>和</w:t>
      </w:r>
      <w:r>
        <w:t>新型材料边框。</w:t>
      </w:r>
    </w:p>
    <w:p>
      <w:pPr>
        <w:pStyle w:val="128"/>
      </w:pPr>
      <w:r>
        <w:rPr>
          <w:rFonts w:hint="eastAsia"/>
        </w:rPr>
        <w:t>光伏</w:t>
      </w:r>
      <w:r>
        <w:t>支架</w:t>
      </w:r>
      <w:r>
        <w:rPr>
          <w:rFonts w:hint="eastAsia"/>
        </w:rPr>
        <w:t>根据</w:t>
      </w:r>
      <w:r>
        <w:t>不同的产品材质，有铝合金、碳钢、</w:t>
      </w:r>
      <w:r>
        <w:rPr>
          <w:rFonts w:hint="eastAsia"/>
        </w:rPr>
        <w:t>HDPE等</w:t>
      </w:r>
      <w:r>
        <w:t>，光伏支架在目前的太阳能光伏发电系统的成本构成中约占</w:t>
      </w:r>
      <w:r>
        <w:rPr>
          <w:rFonts w:hint="eastAsia"/>
        </w:rPr>
        <w:t>3.7</w:t>
      </w:r>
      <w:r>
        <w:t>%-10%，仅次于光伏组件和逆变器。</w:t>
      </w:r>
      <w:r>
        <w:rPr>
          <w:rFonts w:hint="eastAsia"/>
        </w:rPr>
        <w:t>目前</w:t>
      </w:r>
      <w:r>
        <w:t>中国生产的支架占全球的</w:t>
      </w:r>
      <w:r>
        <w:rPr>
          <w:rFonts w:hint="eastAsia"/>
        </w:rPr>
        <w:t>50</w:t>
      </w:r>
      <w:r>
        <w:t>%以上，</w:t>
      </w:r>
      <w:r>
        <w:rPr>
          <w:rFonts w:hint="eastAsia"/>
        </w:rPr>
        <w:t>已</w:t>
      </w:r>
      <w:r>
        <w:t>占据全球光伏支架产能的半壁江山。</w:t>
      </w:r>
      <w:r>
        <w:rPr>
          <w:rFonts w:hint="eastAsia"/>
        </w:rPr>
        <w:t>光伏</w:t>
      </w:r>
      <w:r>
        <w:t>支架</w:t>
      </w:r>
      <w:r>
        <w:rPr>
          <w:rFonts w:hint="eastAsia"/>
        </w:rPr>
        <w:t>产品</w:t>
      </w:r>
      <w:r>
        <w:t>技术含量低，产业门槛不高，</w:t>
      </w:r>
      <w:r>
        <w:rPr>
          <w:rFonts w:hint="eastAsia"/>
        </w:rPr>
        <w:t>同质化竞争激烈</w:t>
      </w:r>
      <w:r>
        <w:t>，原材料成本占</w:t>
      </w:r>
      <w:r>
        <w:rPr>
          <w:rFonts w:hint="eastAsia"/>
        </w:rPr>
        <w:t>产品生产</w:t>
      </w:r>
      <w:r>
        <w:t>成本的</w:t>
      </w:r>
      <w:r>
        <w:rPr>
          <w:rFonts w:hint="eastAsia"/>
        </w:rPr>
        <w:t>70</w:t>
      </w:r>
      <w:r>
        <w:t>%以上，</w:t>
      </w:r>
      <w:r>
        <w:rPr>
          <w:rFonts w:hint="eastAsia"/>
        </w:rPr>
        <w:t>因此</w:t>
      </w:r>
      <w:r>
        <w:t>光伏支架企业数量多，市场竞争激烈，产品质量参差不齐，行业整体利润处于较低水平。</w:t>
      </w:r>
      <w:r>
        <w:rPr>
          <w:rFonts w:hint="eastAsia"/>
        </w:rPr>
        <w:t>光伏</w:t>
      </w:r>
      <w:r>
        <w:t>支架的发展正朝着多样化、加工精密化、轻量化的方向发展，同时，跟踪支架将成为重要的发展方向。</w:t>
      </w:r>
    </w:p>
    <w:p>
      <w:pPr>
        <w:pStyle w:val="128"/>
        <w:numPr>
          <w:ilvl w:val="0"/>
          <w:numId w:val="14"/>
        </w:numPr>
        <w:ind w:firstLineChars="0"/>
      </w:pPr>
      <w:r>
        <w:t>逆变器</w:t>
      </w:r>
    </w:p>
    <w:p>
      <w:pPr>
        <w:pStyle w:val="128"/>
      </w:pPr>
      <w:r>
        <w:rPr>
          <w:rFonts w:hint="eastAsia"/>
        </w:rPr>
        <w:t>目前</w:t>
      </w:r>
      <w:r>
        <w:t>，逆变器分为</w:t>
      </w:r>
      <w:r>
        <w:rPr>
          <w:rFonts w:hint="eastAsia"/>
        </w:rPr>
        <w:t>集中型</w:t>
      </w:r>
      <w:r>
        <w:t>光伏逆变器</w:t>
      </w:r>
      <w:r>
        <w:rPr>
          <w:rFonts w:hint="eastAsia"/>
        </w:rPr>
        <w:t>（功率范围30KW</w:t>
      </w:r>
      <w:r>
        <w:rPr>
          <w:rFonts w:hint="eastAsia" w:hAnsi="宋体"/>
        </w:rPr>
        <w:t>～</w:t>
      </w:r>
      <w:r>
        <w:t>1MW</w:t>
      </w:r>
      <w:r>
        <w:rPr>
          <w:rFonts w:hint="eastAsia"/>
        </w:rPr>
        <w:t>）、</w:t>
      </w:r>
      <w:r>
        <w:t>组串型光伏逆变器（1.5</w:t>
      </w:r>
      <w:r>
        <w:rPr>
          <w:rFonts w:hint="eastAsia"/>
        </w:rPr>
        <w:t>KW～</w:t>
      </w:r>
      <w:r>
        <w:t>30</w:t>
      </w:r>
      <w:r>
        <w:rPr>
          <w:rFonts w:hint="eastAsia"/>
        </w:rPr>
        <w:t>KW</w:t>
      </w:r>
      <w:r>
        <w:t>）</w:t>
      </w:r>
      <w:r>
        <w:rPr>
          <w:rFonts w:hint="eastAsia"/>
        </w:rPr>
        <w:t>、</w:t>
      </w:r>
      <w:r>
        <w:t>集散式逆变器以及微型逆变器</w:t>
      </w:r>
      <w:r>
        <w:rPr>
          <w:rFonts w:hint="eastAsia"/>
        </w:rPr>
        <w:t>（</w:t>
      </w:r>
      <w:r>
        <w:t>200</w:t>
      </w:r>
      <w:r>
        <w:rPr>
          <w:rFonts w:hint="eastAsia"/>
        </w:rPr>
        <w:t>W～</w:t>
      </w:r>
      <w:r>
        <w:t>500</w:t>
      </w:r>
      <w:r>
        <w:rPr>
          <w:rFonts w:hint="eastAsia"/>
        </w:rPr>
        <w:t>KW）。由于</w:t>
      </w:r>
      <w:r>
        <w:t>近几年国内光伏产业</w:t>
      </w:r>
      <w:r>
        <w:rPr>
          <w:rFonts w:hint="eastAsia"/>
        </w:rPr>
        <w:t>蓬勃发展</w:t>
      </w:r>
      <w:r>
        <w:t>，</w:t>
      </w:r>
      <w:r>
        <w:rPr>
          <w:rFonts w:hint="eastAsia"/>
        </w:rPr>
        <w:t>本土</w:t>
      </w:r>
      <w:r>
        <w:t>企业迅速崛起，已经具备与国际逆变器龙头企业竞争的实力。</w:t>
      </w:r>
      <w:r>
        <w:rPr>
          <w:rFonts w:hint="eastAsia"/>
        </w:rPr>
        <w:t>据GTM2016年4月</w:t>
      </w:r>
      <w:r>
        <w:t>统计，在</w:t>
      </w:r>
      <w:r>
        <w:rPr>
          <w:rFonts w:hint="eastAsia"/>
        </w:rPr>
        <w:t>2015年</w:t>
      </w:r>
      <w:r>
        <w:t>出货量前十大逆变器企业中，中国企业占据四家，分比为华为、阳光电源、特变电工、上能电气</w:t>
      </w:r>
      <w:r>
        <w:rPr>
          <w:rFonts w:hint="eastAsia"/>
        </w:rPr>
        <w:t>，</w:t>
      </w:r>
      <w:r>
        <w:t>竞争优势明显。</w:t>
      </w:r>
      <w:r>
        <w:rPr>
          <w:rFonts w:hint="eastAsia"/>
        </w:rPr>
        <w:t>未来</w:t>
      </w:r>
      <w:r>
        <w:t>，逆变器企业的兼并重组进程将逐步加快，</w:t>
      </w:r>
      <w:r>
        <w:rPr>
          <w:rFonts w:hint="eastAsia"/>
        </w:rPr>
        <w:t>注重</w:t>
      </w:r>
      <w:r>
        <w:t>技术积累和技术创新、具有深厚技术研发能力的主流厂商，凭借各方面所拥有的综合优势将获得更大的发展空间</w:t>
      </w:r>
      <w:r>
        <w:rPr>
          <w:rFonts w:hint="eastAsia"/>
        </w:rPr>
        <w:t>；</w:t>
      </w:r>
      <w:r>
        <w:t>技术线路向两头集中</w:t>
      </w:r>
      <w:r>
        <w:rPr>
          <w:rFonts w:hint="eastAsia"/>
        </w:rPr>
        <w:t>：</w:t>
      </w:r>
      <w:r>
        <w:t>电站型大功率逆变器和微型逆变器。</w:t>
      </w:r>
    </w:p>
    <w:p>
      <w:pPr>
        <w:pStyle w:val="127"/>
      </w:pPr>
      <w:r>
        <w:rPr>
          <w:rFonts w:hint="eastAsia"/>
        </w:rPr>
        <w:t>太阳能光伏产业集群</w:t>
      </w:r>
    </w:p>
    <w:p>
      <w:pPr>
        <w:pStyle w:val="128"/>
      </w:pPr>
      <w:r>
        <w:t>目前，我国光伏企业在国际上已经取得了强大的竞争优势，经过了产业价格突破的</w:t>
      </w:r>
      <w:r>
        <w:rPr>
          <w:rFonts w:hint="eastAsia"/>
        </w:rPr>
        <w:t>“</w:t>
      </w:r>
      <w:r>
        <w:t>临界点</w:t>
      </w:r>
      <w:r>
        <w:rPr>
          <w:rFonts w:hint="eastAsia"/>
        </w:rPr>
        <w:t>”</w:t>
      </w:r>
      <w:r>
        <w:t>阶段和全行业低谷期和洗牌期，正在迎来光伏产业发展高潮。</w:t>
      </w:r>
      <w:r>
        <w:rPr>
          <w:rFonts w:hint="eastAsia"/>
        </w:rPr>
        <w:t>渭南市</w:t>
      </w:r>
      <w:r>
        <w:t>的太阳能综合应用</w:t>
      </w:r>
      <w:bookmarkStart w:id="46" w:name="OLE_LINK3"/>
      <w:bookmarkStart w:id="47" w:name="OLE_LINK7"/>
      <w:r>
        <w:t>以太阳能光伏电站为主线，</w:t>
      </w:r>
      <w:bookmarkEnd w:id="46"/>
      <w:bookmarkEnd w:id="47"/>
      <w:r>
        <w:rPr>
          <w:rFonts w:hint="eastAsia"/>
        </w:rPr>
        <w:t>依托</w:t>
      </w:r>
      <w:r>
        <w:t>渭南市的</w:t>
      </w:r>
      <w:r>
        <w:rPr>
          <w:rFonts w:hint="eastAsia"/>
        </w:rPr>
        <w:t>资源</w:t>
      </w:r>
      <w:r>
        <w:t>优势、</w:t>
      </w:r>
      <w:r>
        <w:rPr>
          <w:rFonts w:hint="eastAsia"/>
        </w:rPr>
        <w:t>科技人才优势</w:t>
      </w:r>
      <w:r>
        <w:t>，</w:t>
      </w:r>
      <w:bookmarkStart w:id="48" w:name="OLE_LINK10"/>
      <w:bookmarkStart w:id="49" w:name="OLE_LINK23"/>
      <w:r>
        <w:rPr>
          <w:rFonts w:hint="eastAsia"/>
        </w:rPr>
        <w:t>延伸</w:t>
      </w:r>
      <w:r>
        <w:t>上游产业，</w:t>
      </w:r>
      <w:r>
        <w:rPr>
          <w:rFonts w:hint="eastAsia"/>
        </w:rPr>
        <w:t>拓展</w:t>
      </w:r>
      <w:r>
        <w:t>相关</w:t>
      </w:r>
      <w:r>
        <w:rPr>
          <w:rFonts w:hint="eastAsia"/>
        </w:rPr>
        <w:t>产业链</w:t>
      </w:r>
      <w:r>
        <w:t>，</w:t>
      </w:r>
      <w:r>
        <w:rPr>
          <w:rFonts w:hint="eastAsia"/>
        </w:rPr>
        <w:t>形成</w:t>
      </w:r>
      <w:r>
        <w:t>以</w:t>
      </w:r>
      <w:r>
        <w:rPr>
          <w:rFonts w:hint="eastAsia"/>
        </w:rPr>
        <w:t>先进技术</w:t>
      </w:r>
      <w:r>
        <w:t>引领，</w:t>
      </w:r>
      <w:r>
        <w:rPr>
          <w:rFonts w:hint="eastAsia"/>
        </w:rPr>
        <w:t>产业链完整</w:t>
      </w:r>
      <w:r>
        <w:t>的太阳能综合应用</w:t>
      </w:r>
      <w:r>
        <w:rPr>
          <w:rFonts w:hint="eastAsia"/>
        </w:rPr>
        <w:t>技术</w:t>
      </w:r>
      <w:r>
        <w:t>示范城市。</w:t>
      </w:r>
      <w:bookmarkEnd w:id="48"/>
      <w:bookmarkEnd w:id="49"/>
    </w:p>
    <w:p>
      <w:pPr>
        <w:pStyle w:val="128"/>
      </w:pPr>
      <w:bookmarkStart w:id="50" w:name="OLE_LINK25"/>
      <w:bookmarkStart w:id="51" w:name="OLE_LINK26"/>
      <w:r>
        <w:rPr>
          <w:rFonts w:hint="eastAsia"/>
        </w:rPr>
        <w:t>（1）产业发展策略</w:t>
      </w:r>
    </w:p>
    <w:p>
      <w:pPr>
        <w:pStyle w:val="128"/>
      </w:pPr>
      <w:r>
        <w:rPr>
          <w:rFonts w:hint="eastAsia"/>
        </w:rPr>
        <w:t>渭南市</w:t>
      </w:r>
      <w:r>
        <w:t>太阳能综合</w:t>
      </w:r>
      <w:r>
        <w:rPr>
          <w:rFonts w:hint="eastAsia"/>
        </w:rPr>
        <w:t>应用产业</w:t>
      </w:r>
      <w:r>
        <w:t>应立足</w:t>
      </w:r>
      <w:r>
        <w:rPr>
          <w:rFonts w:hint="eastAsia"/>
        </w:rPr>
        <w:t>陕西</w:t>
      </w:r>
      <w:r>
        <w:t>，面向全国</w:t>
      </w:r>
      <w:r>
        <w:rPr>
          <w:rFonts w:hint="eastAsia"/>
        </w:rPr>
        <w:t>。首先</w:t>
      </w:r>
      <w:r>
        <w:t>以渭南市光伏领跑者基地</w:t>
      </w:r>
      <w:r>
        <w:rPr>
          <w:rFonts w:hint="eastAsia"/>
        </w:rPr>
        <w:t>的规划报批</w:t>
      </w:r>
      <w:r>
        <w:t>及项目</w:t>
      </w:r>
      <w:r>
        <w:rPr>
          <w:rFonts w:hint="eastAsia"/>
        </w:rPr>
        <w:t>落地</w:t>
      </w:r>
      <w:r>
        <w:t>为契机，</w:t>
      </w:r>
      <w:r>
        <w:rPr>
          <w:rFonts w:hint="eastAsia"/>
        </w:rPr>
        <w:t>充分</w:t>
      </w:r>
      <w:r>
        <w:t>利用项目带动作用，</w:t>
      </w:r>
      <w:r>
        <w:rPr>
          <w:rFonts w:hint="eastAsia"/>
        </w:rPr>
        <w:t>加大招商</w:t>
      </w:r>
      <w:r>
        <w:t>力度，形成上下游产业集聚</w:t>
      </w:r>
      <w:r>
        <w:rPr>
          <w:rFonts w:hint="eastAsia"/>
        </w:rPr>
        <w:t>和一批重点</w:t>
      </w:r>
      <w:r>
        <w:t>核心企业，</w:t>
      </w:r>
      <w:r>
        <w:rPr>
          <w:rFonts w:hint="eastAsia"/>
        </w:rPr>
        <w:t>大力发展</w:t>
      </w:r>
      <w:r>
        <w:t>先进组件、逆变器及新型支架的技术研发，</w:t>
      </w:r>
      <w:r>
        <w:rPr>
          <w:rFonts w:hint="eastAsia"/>
        </w:rPr>
        <w:t>形成规模</w:t>
      </w:r>
      <w:r>
        <w:t>产业供给，并逐步辐射</w:t>
      </w:r>
      <w:r>
        <w:rPr>
          <w:rFonts w:hint="eastAsia"/>
        </w:rPr>
        <w:t>陕西铜川</w:t>
      </w:r>
      <w:r>
        <w:t>、榆林、咸阳等其他省市的光伏应用市场</w:t>
      </w:r>
      <w:r>
        <w:rPr>
          <w:rFonts w:hint="eastAsia"/>
        </w:rPr>
        <w:t>；</w:t>
      </w:r>
      <w:r>
        <w:t>借助处于</w:t>
      </w:r>
      <w:r>
        <w:rPr>
          <w:rFonts w:hint="eastAsia"/>
        </w:rPr>
        <w:t>关中腹地</w:t>
      </w:r>
      <w:r>
        <w:t>的区位优势，</w:t>
      </w:r>
      <w:r>
        <w:rPr>
          <w:rFonts w:hint="eastAsia"/>
        </w:rPr>
        <w:t>北</w:t>
      </w:r>
      <w:r>
        <w:t>拓</w:t>
      </w:r>
      <w:r>
        <w:rPr>
          <w:rFonts w:hint="eastAsia"/>
        </w:rPr>
        <w:t>南</w:t>
      </w:r>
      <w:r>
        <w:t>进，</w:t>
      </w:r>
      <w:r>
        <w:rPr>
          <w:rFonts w:hint="eastAsia"/>
        </w:rPr>
        <w:t>向北</w:t>
      </w:r>
      <w:r>
        <w:t>主要</w:t>
      </w:r>
      <w:r>
        <w:rPr>
          <w:rFonts w:hint="eastAsia"/>
        </w:rPr>
        <w:t>面向</w:t>
      </w:r>
      <w:r>
        <w:t>西藏、内蒙、青海等</w:t>
      </w:r>
      <w:r>
        <w:rPr>
          <w:rFonts w:hint="eastAsia"/>
        </w:rPr>
        <w:t>大型</w:t>
      </w:r>
      <w:r>
        <w:t>地面电站的建设和技术应用，向</w:t>
      </w:r>
      <w:r>
        <w:rPr>
          <w:rFonts w:hint="eastAsia"/>
        </w:rPr>
        <w:t>南逐步向华南</w:t>
      </w:r>
      <w:r>
        <w:t>、华北</w:t>
      </w:r>
      <w:r>
        <w:rPr>
          <w:rFonts w:hint="eastAsia"/>
        </w:rPr>
        <w:t>、</w:t>
      </w:r>
      <w:r>
        <w:t>沿海等地区推进。</w:t>
      </w:r>
    </w:p>
    <w:p>
      <w:pPr>
        <w:pStyle w:val="128"/>
      </w:pPr>
      <w:r>
        <w:rPr>
          <w:rFonts w:hint="eastAsia"/>
        </w:rPr>
        <w:t>（2）产业集群规划</w:t>
      </w:r>
    </w:p>
    <w:bookmarkEnd w:id="50"/>
    <w:bookmarkEnd w:id="51"/>
    <w:p>
      <w:pPr>
        <w:pStyle w:val="128"/>
      </w:pPr>
      <w:r>
        <w:t>在目前光伏市场的规模越来越大的情况下，渭南市利用自己的优势，瞄准下游应用市场，重点以地面集中电站的建设、分布式电站的推广应用为基础，发展上游组件、支架、逆变器等主材，同时发展如坩埚、石墨、碳毡、铝浆、银浆、超白玻璃、EVA膜、铜箔带、铝合金等重要辅材。除了主材和辅材环节，后期逐步发展硅料和辅材的再生业务，如铸锭厂的头尾料和边皮料的回收，切片厂的砂浆、硅料回收以及再生，铸锭厂的坩埚回收和石墨回收再加工，还有，在今后光伏电站投资到了一定年限后，对于超过服役期的电站的组件中的超白玻璃、铜箔、银浆、铝合金、背板等各种辅料的回收和再加工。</w:t>
      </w:r>
    </w:p>
    <w:p>
      <w:pPr>
        <w:pStyle w:val="132"/>
        <w:numPr>
          <w:ilvl w:val="0"/>
          <w:numId w:val="13"/>
        </w:numPr>
        <w:ind w:left="420"/>
      </w:pPr>
      <w:r>
        <w:rPr>
          <w:rFonts w:hint="eastAsia"/>
        </w:rPr>
        <w:t>渭南市</w:t>
      </w:r>
      <w:r>
        <w:t>光伏产业链发展集群规划</w:t>
      </w:r>
    </w:p>
    <w:tbl>
      <w:tblPr>
        <w:tblStyle w:val="46"/>
        <w:tblW w:w="83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6"/>
        <w:gridCol w:w="3994"/>
        <w:gridCol w:w="2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trPr>
        <w:tc>
          <w:tcPr>
            <w:tcW w:w="1526" w:type="dxa"/>
            <w:vAlign w:val="center"/>
          </w:tcPr>
          <w:p>
            <w:pPr>
              <w:pStyle w:val="36"/>
            </w:pPr>
            <w:r>
              <w:rPr>
                <w:rFonts w:hint="eastAsia"/>
              </w:rPr>
              <w:t>产业链</w:t>
            </w:r>
            <w:r>
              <w:t>环节</w:t>
            </w:r>
          </w:p>
        </w:tc>
        <w:tc>
          <w:tcPr>
            <w:tcW w:w="3994" w:type="dxa"/>
            <w:vAlign w:val="center"/>
          </w:tcPr>
          <w:p>
            <w:pPr>
              <w:pStyle w:val="36"/>
            </w:pPr>
            <w:r>
              <w:rPr>
                <w:rFonts w:hint="eastAsia"/>
              </w:rPr>
              <w:t>产业</w:t>
            </w:r>
            <w:r>
              <w:t>发展方向</w:t>
            </w:r>
          </w:p>
        </w:tc>
        <w:tc>
          <w:tcPr>
            <w:tcW w:w="2810" w:type="dxa"/>
            <w:vAlign w:val="center"/>
          </w:tcPr>
          <w:p>
            <w:pPr>
              <w:pStyle w:val="36"/>
            </w:pPr>
            <w:r>
              <w:rPr>
                <w:rFonts w:hint="eastAsia"/>
              </w:rPr>
              <w:t>发展思路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8330" w:type="dxa"/>
            <w:gridSpan w:val="3"/>
            <w:vAlign w:val="center"/>
          </w:tcPr>
          <w:p>
            <w:pPr>
              <w:pStyle w:val="36"/>
            </w:pPr>
            <w:r>
              <w:rPr>
                <w:rFonts w:hint="eastAsia"/>
              </w:rPr>
              <w:t>光伏</w:t>
            </w:r>
            <w:r>
              <w:t>应用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26" w:type="dxa"/>
            <w:vAlign w:val="center"/>
          </w:tcPr>
          <w:p>
            <w:pPr>
              <w:pStyle w:val="36"/>
            </w:pPr>
            <w:r>
              <w:rPr>
                <w:rFonts w:hint="eastAsia"/>
              </w:rPr>
              <w:t>光伏</w:t>
            </w:r>
            <w:r>
              <w:t>电站</w:t>
            </w:r>
          </w:p>
        </w:tc>
        <w:tc>
          <w:tcPr>
            <w:tcW w:w="3994" w:type="dxa"/>
            <w:vAlign w:val="center"/>
          </w:tcPr>
          <w:p>
            <w:pPr>
              <w:pStyle w:val="36"/>
            </w:pPr>
            <w:r>
              <w:rPr>
                <w:rFonts w:hint="eastAsia"/>
              </w:rPr>
              <w:t>“领跑者”</w:t>
            </w:r>
            <w:r>
              <w:t>基地</w:t>
            </w:r>
            <w:r>
              <w:rPr>
                <w:rFonts w:hint="eastAsia"/>
              </w:rPr>
              <w:t>、</w:t>
            </w:r>
            <w:r>
              <w:t>分布式</w:t>
            </w:r>
            <w:r>
              <w:rPr>
                <w:rFonts w:hint="eastAsia"/>
              </w:rPr>
              <w:t>电站</w:t>
            </w:r>
          </w:p>
        </w:tc>
        <w:tc>
          <w:tcPr>
            <w:tcW w:w="2810" w:type="dxa"/>
            <w:vAlign w:val="center"/>
          </w:tcPr>
          <w:p>
            <w:pPr>
              <w:pStyle w:val="36"/>
            </w:pPr>
            <w:r>
              <w:rPr>
                <w:rFonts w:hint="eastAsia"/>
              </w:rPr>
              <w:t>光伏</w:t>
            </w:r>
            <w:r>
              <w:t>产业发展基础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8330" w:type="dxa"/>
            <w:gridSpan w:val="3"/>
            <w:vAlign w:val="center"/>
          </w:tcPr>
          <w:p>
            <w:pPr>
              <w:pStyle w:val="36"/>
            </w:pPr>
            <w:r>
              <w:rPr>
                <w:rFonts w:hint="eastAsia"/>
              </w:rPr>
              <w:t>光伏</w:t>
            </w:r>
            <w:r>
              <w:t>主材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26" w:type="dxa"/>
            <w:vAlign w:val="center"/>
          </w:tcPr>
          <w:p>
            <w:pPr>
              <w:pStyle w:val="36"/>
            </w:pPr>
            <w:r>
              <w:rPr>
                <w:rFonts w:hint="eastAsia"/>
              </w:rPr>
              <w:t>硅料</w:t>
            </w:r>
          </w:p>
        </w:tc>
        <w:tc>
          <w:tcPr>
            <w:tcW w:w="3994" w:type="dxa"/>
            <w:vAlign w:val="center"/>
          </w:tcPr>
          <w:p>
            <w:pPr>
              <w:pStyle w:val="36"/>
            </w:pPr>
            <w:r>
              <w:rPr>
                <w:rFonts w:hint="eastAsia"/>
              </w:rPr>
              <w:t>高质量</w:t>
            </w:r>
            <w:r>
              <w:t>多晶硅制备</w:t>
            </w:r>
          </w:p>
        </w:tc>
        <w:tc>
          <w:tcPr>
            <w:tcW w:w="2810" w:type="dxa"/>
            <w:vAlign w:val="center"/>
          </w:tcPr>
          <w:p>
            <w:pPr>
              <w:pStyle w:val="36"/>
            </w:pPr>
            <w:r>
              <w:rPr>
                <w:rFonts w:hint="eastAsia"/>
              </w:rPr>
              <w:t>进口替代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26" w:type="dxa"/>
            <w:vAlign w:val="center"/>
          </w:tcPr>
          <w:p>
            <w:pPr>
              <w:pStyle w:val="36"/>
            </w:pPr>
            <w:r>
              <w:rPr>
                <w:rFonts w:hint="eastAsia"/>
              </w:rPr>
              <w:t>硅片</w:t>
            </w:r>
          </w:p>
        </w:tc>
        <w:tc>
          <w:tcPr>
            <w:tcW w:w="3994" w:type="dxa"/>
            <w:vAlign w:val="center"/>
          </w:tcPr>
          <w:p>
            <w:pPr>
              <w:pStyle w:val="36"/>
            </w:pPr>
            <w:r>
              <w:rPr>
                <w:rFonts w:hint="eastAsia"/>
              </w:rPr>
              <w:t>高质量</w:t>
            </w:r>
            <w:r>
              <w:t>硅片制备</w:t>
            </w:r>
          </w:p>
        </w:tc>
        <w:tc>
          <w:tcPr>
            <w:tcW w:w="2810" w:type="dxa"/>
            <w:vAlign w:val="center"/>
          </w:tcPr>
          <w:p>
            <w:pPr>
              <w:pStyle w:val="36"/>
            </w:pPr>
            <w:r>
              <w:rPr>
                <w:rFonts w:hint="eastAsia"/>
              </w:rPr>
              <w:t>产业提升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26" w:type="dxa"/>
            <w:vAlign w:val="center"/>
          </w:tcPr>
          <w:p>
            <w:pPr>
              <w:pStyle w:val="36"/>
            </w:pPr>
            <w:r>
              <w:rPr>
                <w:rFonts w:hint="eastAsia"/>
              </w:rPr>
              <w:t>电池片</w:t>
            </w:r>
          </w:p>
        </w:tc>
        <w:tc>
          <w:tcPr>
            <w:tcW w:w="3994" w:type="dxa"/>
            <w:vAlign w:val="center"/>
          </w:tcPr>
          <w:p>
            <w:pPr>
              <w:pStyle w:val="36"/>
            </w:pPr>
            <w:r>
              <w:t>PERC</w:t>
            </w:r>
            <w:r>
              <w:rPr>
                <w:rFonts w:hint="eastAsia"/>
              </w:rPr>
              <w:t>、N型</w:t>
            </w:r>
            <w:r>
              <w:t>等新型、高效电池</w:t>
            </w:r>
          </w:p>
        </w:tc>
        <w:tc>
          <w:tcPr>
            <w:tcW w:w="2810" w:type="dxa"/>
            <w:vAlign w:val="center"/>
          </w:tcPr>
          <w:p>
            <w:pPr>
              <w:pStyle w:val="36"/>
            </w:pPr>
            <w:r>
              <w:rPr>
                <w:rFonts w:hint="eastAsia"/>
              </w:rPr>
              <w:t>产业提升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26" w:type="dxa"/>
            <w:vAlign w:val="center"/>
          </w:tcPr>
          <w:p>
            <w:pPr>
              <w:pStyle w:val="36"/>
            </w:pPr>
            <w:r>
              <w:rPr>
                <w:rFonts w:hint="eastAsia"/>
              </w:rPr>
              <w:t>组件</w:t>
            </w:r>
          </w:p>
        </w:tc>
        <w:tc>
          <w:tcPr>
            <w:tcW w:w="3994" w:type="dxa"/>
            <w:vAlign w:val="center"/>
          </w:tcPr>
          <w:p>
            <w:pPr>
              <w:pStyle w:val="36"/>
            </w:pPr>
            <w:r>
              <w:rPr>
                <w:rFonts w:hint="eastAsia"/>
              </w:rPr>
              <w:t>新型高效组件</w:t>
            </w:r>
          </w:p>
        </w:tc>
        <w:tc>
          <w:tcPr>
            <w:tcW w:w="2810" w:type="dxa"/>
            <w:vAlign w:val="center"/>
          </w:tcPr>
          <w:p>
            <w:pPr>
              <w:pStyle w:val="36"/>
            </w:pPr>
            <w:r>
              <w:rPr>
                <w:rFonts w:hint="eastAsia"/>
              </w:rPr>
              <w:t>产业提升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8330" w:type="dxa"/>
            <w:gridSpan w:val="3"/>
            <w:vAlign w:val="center"/>
          </w:tcPr>
          <w:p>
            <w:pPr>
              <w:pStyle w:val="36"/>
            </w:pPr>
            <w:r>
              <w:rPr>
                <w:rFonts w:hint="eastAsia"/>
              </w:rPr>
              <w:t>光伏设备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26" w:type="dxa"/>
            <w:vAlign w:val="center"/>
          </w:tcPr>
          <w:p>
            <w:pPr>
              <w:pStyle w:val="36"/>
            </w:pPr>
            <w:r>
              <w:rPr>
                <w:rFonts w:hint="eastAsia"/>
              </w:rPr>
              <w:t>装备制造</w:t>
            </w:r>
          </w:p>
        </w:tc>
        <w:tc>
          <w:tcPr>
            <w:tcW w:w="3994" w:type="dxa"/>
            <w:vAlign w:val="center"/>
          </w:tcPr>
          <w:p>
            <w:pPr>
              <w:pStyle w:val="36"/>
            </w:pPr>
            <w:r>
              <w:rPr>
                <w:rFonts w:hint="eastAsia"/>
              </w:rPr>
              <w:t>精密</w:t>
            </w:r>
            <w:r>
              <w:t>制造、智能制造</w:t>
            </w:r>
          </w:p>
        </w:tc>
        <w:tc>
          <w:tcPr>
            <w:tcW w:w="2810" w:type="dxa"/>
            <w:vAlign w:val="center"/>
          </w:tcPr>
          <w:p>
            <w:pPr>
              <w:pStyle w:val="36"/>
            </w:pPr>
            <w:r>
              <w:rPr>
                <w:rFonts w:hint="eastAsia"/>
              </w:rPr>
              <w:t>原有</w:t>
            </w:r>
            <w:r>
              <w:t>装备制造</w:t>
            </w:r>
            <w:r>
              <w:rPr>
                <w:rFonts w:hint="eastAsia"/>
              </w:rPr>
              <w:t>产业补充</w:t>
            </w:r>
            <w:r>
              <w:t>和产业提升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8330" w:type="dxa"/>
            <w:gridSpan w:val="3"/>
            <w:vAlign w:val="center"/>
          </w:tcPr>
          <w:p>
            <w:pPr>
              <w:pStyle w:val="36"/>
            </w:pPr>
            <w:r>
              <w:rPr>
                <w:rFonts w:hint="eastAsia"/>
              </w:rPr>
              <w:t>光伏辅料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26" w:type="dxa"/>
            <w:vAlign w:val="center"/>
          </w:tcPr>
          <w:p>
            <w:pPr>
              <w:pStyle w:val="36"/>
            </w:pPr>
            <w:r>
              <w:rPr>
                <w:rFonts w:hint="eastAsia"/>
              </w:rPr>
              <w:t>光伏</w:t>
            </w:r>
            <w:r>
              <w:t>浆料</w:t>
            </w:r>
          </w:p>
        </w:tc>
        <w:tc>
          <w:tcPr>
            <w:tcW w:w="3994" w:type="dxa"/>
            <w:vAlign w:val="center"/>
          </w:tcPr>
          <w:p>
            <w:pPr>
              <w:pStyle w:val="36"/>
            </w:pPr>
            <w:r>
              <w:rPr>
                <w:rFonts w:hint="eastAsia"/>
              </w:rPr>
              <w:t>正面银浆</w:t>
            </w:r>
          </w:p>
        </w:tc>
        <w:tc>
          <w:tcPr>
            <w:tcW w:w="2810" w:type="dxa"/>
            <w:vAlign w:val="center"/>
          </w:tcPr>
          <w:p>
            <w:pPr>
              <w:pStyle w:val="36"/>
            </w:pPr>
            <w:r>
              <w:rPr>
                <w:rFonts w:hint="eastAsia"/>
              </w:rPr>
              <w:t>进口替代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26" w:type="dxa"/>
            <w:vAlign w:val="center"/>
          </w:tcPr>
          <w:p>
            <w:pPr>
              <w:pStyle w:val="36"/>
            </w:pPr>
            <w:r>
              <w:rPr>
                <w:rFonts w:hint="eastAsia"/>
              </w:rPr>
              <w:t>光伏背板</w:t>
            </w:r>
          </w:p>
        </w:tc>
        <w:tc>
          <w:tcPr>
            <w:tcW w:w="3994" w:type="dxa"/>
            <w:vAlign w:val="center"/>
          </w:tcPr>
          <w:p>
            <w:pPr>
              <w:pStyle w:val="36"/>
            </w:pPr>
            <w:r>
              <w:rPr>
                <w:rFonts w:hint="eastAsia"/>
              </w:rPr>
              <w:t>关键</w:t>
            </w:r>
            <w:r>
              <w:t>核心材料研发</w:t>
            </w:r>
            <w:r>
              <w:rPr>
                <w:rFonts w:hint="eastAsia"/>
              </w:rPr>
              <w:t>制造</w:t>
            </w:r>
          </w:p>
        </w:tc>
        <w:tc>
          <w:tcPr>
            <w:tcW w:w="2810" w:type="dxa"/>
            <w:vAlign w:val="center"/>
          </w:tcPr>
          <w:p>
            <w:pPr>
              <w:pStyle w:val="36"/>
            </w:pPr>
            <w:r>
              <w:rPr>
                <w:rFonts w:hint="eastAsia"/>
              </w:rPr>
              <w:t>进口替代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26" w:type="dxa"/>
            <w:vAlign w:val="center"/>
          </w:tcPr>
          <w:p>
            <w:pPr>
              <w:pStyle w:val="36"/>
            </w:pPr>
            <w:r>
              <w:t>光伏</w:t>
            </w:r>
            <w:r>
              <w:rPr>
                <w:rFonts w:hint="eastAsia"/>
              </w:rPr>
              <w:t>EVA胶膜</w:t>
            </w:r>
          </w:p>
        </w:tc>
        <w:tc>
          <w:tcPr>
            <w:tcW w:w="3994" w:type="dxa"/>
            <w:vAlign w:val="center"/>
          </w:tcPr>
          <w:p>
            <w:pPr>
              <w:pStyle w:val="36"/>
            </w:pPr>
            <w:r>
              <w:rPr>
                <w:rFonts w:hint="eastAsia"/>
              </w:rPr>
              <w:t>光伏</w:t>
            </w:r>
            <w:r>
              <w:t>级</w:t>
            </w:r>
            <w:r>
              <w:rPr>
                <w:rFonts w:hint="eastAsia"/>
              </w:rPr>
              <w:t>EVA树脂</w:t>
            </w:r>
            <w:r>
              <w:t>的研发制造</w:t>
            </w:r>
          </w:p>
        </w:tc>
        <w:tc>
          <w:tcPr>
            <w:tcW w:w="2810" w:type="dxa"/>
            <w:vAlign w:val="center"/>
          </w:tcPr>
          <w:p>
            <w:pPr>
              <w:pStyle w:val="36"/>
            </w:pPr>
            <w:r>
              <w:rPr>
                <w:rFonts w:hint="eastAsia"/>
              </w:rPr>
              <w:t>对接渭北“煤化工”产业</w:t>
            </w:r>
            <w:r>
              <w:t>，实现产业链延伸和</w:t>
            </w:r>
            <w:r>
              <w:rPr>
                <w:rFonts w:hint="eastAsia"/>
              </w:rPr>
              <w:t>进口替代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26" w:type="dxa"/>
            <w:vAlign w:val="center"/>
          </w:tcPr>
          <w:p>
            <w:pPr>
              <w:pStyle w:val="36"/>
            </w:pPr>
            <w:r>
              <w:rPr>
                <w:rFonts w:hint="eastAsia"/>
              </w:rPr>
              <w:t>光伏玻璃</w:t>
            </w:r>
          </w:p>
        </w:tc>
        <w:tc>
          <w:tcPr>
            <w:tcW w:w="3994" w:type="dxa"/>
            <w:vAlign w:val="center"/>
          </w:tcPr>
          <w:p>
            <w:pPr>
              <w:pStyle w:val="36"/>
            </w:pPr>
            <w:r>
              <w:t>防灰、防尘、防污染、易清洁以及轻质、高强度、高透光性</w:t>
            </w:r>
            <w:r>
              <w:rPr>
                <w:rFonts w:hint="eastAsia"/>
              </w:rPr>
              <w:t>光伏玻璃</w:t>
            </w:r>
          </w:p>
        </w:tc>
        <w:tc>
          <w:tcPr>
            <w:tcW w:w="2810" w:type="dxa"/>
            <w:vAlign w:val="center"/>
          </w:tcPr>
          <w:p>
            <w:pPr>
              <w:pStyle w:val="36"/>
            </w:pPr>
            <w:r>
              <w:rPr>
                <w:rFonts w:hint="eastAsia"/>
              </w:rPr>
              <w:t>产业提升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8330" w:type="dxa"/>
            <w:gridSpan w:val="3"/>
            <w:vAlign w:val="center"/>
          </w:tcPr>
          <w:p>
            <w:pPr>
              <w:pStyle w:val="36"/>
            </w:pPr>
            <w:r>
              <w:t>系统部件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26" w:type="dxa"/>
            <w:vAlign w:val="center"/>
          </w:tcPr>
          <w:p>
            <w:pPr>
              <w:pStyle w:val="36"/>
            </w:pPr>
            <w:r>
              <w:rPr>
                <w:rFonts w:hint="eastAsia"/>
              </w:rPr>
              <w:t>支架</w:t>
            </w:r>
            <w:r>
              <w:t>和边框</w:t>
            </w:r>
          </w:p>
        </w:tc>
        <w:tc>
          <w:tcPr>
            <w:tcW w:w="3994" w:type="dxa"/>
            <w:vAlign w:val="center"/>
          </w:tcPr>
          <w:p>
            <w:pPr>
              <w:pStyle w:val="36"/>
            </w:pPr>
            <w:r>
              <w:rPr>
                <w:rFonts w:hint="eastAsia"/>
              </w:rPr>
              <w:t>铝合金支架</w:t>
            </w:r>
            <w:r>
              <w:t>和边框</w:t>
            </w:r>
          </w:p>
        </w:tc>
        <w:tc>
          <w:tcPr>
            <w:tcW w:w="2810" w:type="dxa"/>
            <w:vAlign w:val="center"/>
          </w:tcPr>
          <w:p>
            <w:pPr>
              <w:pStyle w:val="36"/>
            </w:pPr>
            <w:r>
              <w:rPr>
                <w:rFonts w:hint="eastAsia"/>
              </w:rPr>
              <w:t>对接</w:t>
            </w:r>
            <w:r>
              <w:t>澄城</w:t>
            </w:r>
            <w:r>
              <w:rPr>
                <w:rFonts w:hint="eastAsia"/>
              </w:rPr>
              <w:t>“煤炭</w:t>
            </w:r>
            <w:r>
              <w:t>铝</w:t>
            </w:r>
            <w:r>
              <w:rPr>
                <w:rFonts w:hint="eastAsia"/>
              </w:rPr>
              <w:t>”产业</w:t>
            </w:r>
            <w:r>
              <w:t>，产业链延伸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26" w:type="dxa"/>
            <w:vAlign w:val="center"/>
          </w:tcPr>
          <w:p>
            <w:pPr>
              <w:pStyle w:val="36"/>
            </w:pPr>
            <w:r>
              <w:rPr>
                <w:rFonts w:hint="eastAsia"/>
              </w:rPr>
              <w:t>逆变器</w:t>
            </w:r>
          </w:p>
        </w:tc>
        <w:tc>
          <w:tcPr>
            <w:tcW w:w="3994" w:type="dxa"/>
            <w:vAlign w:val="center"/>
          </w:tcPr>
          <w:p>
            <w:pPr>
              <w:pStyle w:val="36"/>
            </w:pPr>
            <w:r>
              <w:t>电站型大功率逆变器和微型逆变器</w:t>
            </w:r>
          </w:p>
        </w:tc>
        <w:tc>
          <w:tcPr>
            <w:tcW w:w="2810" w:type="dxa"/>
            <w:vAlign w:val="center"/>
          </w:tcPr>
          <w:p>
            <w:pPr>
              <w:pStyle w:val="36"/>
            </w:pPr>
            <w:r>
              <w:rPr>
                <w:rFonts w:hint="eastAsia"/>
              </w:rPr>
              <w:t>产业</w:t>
            </w:r>
            <w:r>
              <w:t>补充和提升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8330" w:type="dxa"/>
            <w:gridSpan w:val="3"/>
            <w:vAlign w:val="center"/>
          </w:tcPr>
          <w:p>
            <w:pPr>
              <w:pStyle w:val="36"/>
            </w:pPr>
            <w:r>
              <w:rPr>
                <w:rFonts w:hint="eastAsia"/>
              </w:rPr>
              <w:t>光伏</w:t>
            </w:r>
            <w:r>
              <w:t>电站回收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26" w:type="dxa"/>
            <w:vAlign w:val="center"/>
          </w:tcPr>
          <w:p>
            <w:pPr>
              <w:pStyle w:val="36"/>
            </w:pPr>
            <w:r>
              <w:rPr>
                <w:rFonts w:hint="eastAsia"/>
              </w:rPr>
              <w:t>循环经济</w:t>
            </w:r>
          </w:p>
        </w:tc>
        <w:tc>
          <w:tcPr>
            <w:tcW w:w="3994" w:type="dxa"/>
            <w:vAlign w:val="center"/>
          </w:tcPr>
          <w:p>
            <w:pPr>
              <w:pStyle w:val="36"/>
            </w:pPr>
            <w:r>
              <w:rPr>
                <w:rFonts w:hint="eastAsia"/>
              </w:rPr>
              <w:t>对</w:t>
            </w:r>
            <w:r>
              <w:t>超过服役期的电站进行硅料、玻璃、银浆、铝等各种主辅材的回收和再加工</w:t>
            </w:r>
          </w:p>
        </w:tc>
        <w:tc>
          <w:tcPr>
            <w:tcW w:w="2810" w:type="dxa"/>
            <w:vAlign w:val="center"/>
          </w:tcPr>
          <w:p>
            <w:pPr>
              <w:pStyle w:val="36"/>
            </w:pPr>
            <w:r>
              <w:rPr>
                <w:rFonts w:hint="eastAsia"/>
              </w:rPr>
              <w:t>产业链</w:t>
            </w:r>
            <w:r>
              <w:t>补充</w:t>
            </w:r>
            <w:r>
              <w:rPr>
                <w:rFonts w:hint="eastAsia"/>
              </w:rPr>
              <w:t>，</w:t>
            </w:r>
            <w:r>
              <w:t>发展绿色、循环经济</w:t>
            </w:r>
          </w:p>
        </w:tc>
      </w:tr>
    </w:tbl>
    <w:p>
      <w:pPr>
        <w:pStyle w:val="128"/>
      </w:pPr>
    </w:p>
    <w:p>
      <w:pPr>
        <w:pStyle w:val="127"/>
      </w:pPr>
      <w:r>
        <w:rPr>
          <w:rFonts w:hint="eastAsia"/>
        </w:rPr>
        <w:t>重点</w:t>
      </w:r>
      <w:r>
        <w:t>发展</w:t>
      </w:r>
      <w:r>
        <w:rPr>
          <w:rFonts w:hint="eastAsia"/>
        </w:rPr>
        <w:t>储能</w:t>
      </w:r>
      <w:r>
        <w:t>技术</w:t>
      </w:r>
    </w:p>
    <w:p>
      <w:pPr>
        <w:pStyle w:val="128"/>
      </w:pPr>
      <w:r>
        <w:rPr>
          <w:rFonts w:hint="eastAsia"/>
        </w:rPr>
        <w:t>发展创新性储能技术对加快发展我国新能源产业具有决定性的意义，近几十年来，储能技术的研究和发展一直受到各国能源、交通、电力、电讯等部门的高度重视。</w:t>
      </w:r>
    </w:p>
    <w:p>
      <w:pPr>
        <w:pStyle w:val="129"/>
        <w:rPr>
          <w:kern w:val="0"/>
        </w:rPr>
      </w:pPr>
      <w:r>
        <w:rPr>
          <w:kern w:val="0"/>
        </w:rPr>
        <w:drawing>
          <wp:inline distT="0" distB="0" distL="0" distR="0">
            <wp:extent cx="4726940" cy="2349500"/>
            <wp:effectExtent l="0" t="0" r="0" b="0"/>
            <wp:docPr id="231" name="图片 8" descr="C:\Users\DFF\AppData\Roaming\Tencent\Users\497121372\QQ\WinTemp\RichOle\GUV]LL%M)M$Y@]14AU8CWK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8" descr="C:\Users\DFF\AppData\Roaming\Tencent\Users\497121372\QQ\WinTemp\RichOle\GUV]LL%M)M$Y@]14AU8CWKG.png"/>
                    <pic:cNvPicPr>
                      <a:picLocks noChangeAspect="1" noChangeArrowheads="1"/>
                    </pic:cNvPicPr>
                  </pic:nvPicPr>
                  <pic:blipFill>
                    <a:blip r:embed="rId54"/>
                    <a:srcRect/>
                    <a:stretch>
                      <a:fillRect/>
                    </a:stretch>
                  </pic:blipFill>
                  <pic:spPr>
                    <a:xfrm>
                      <a:off x="0" y="0"/>
                      <a:ext cx="4736410" cy="2354356"/>
                    </a:xfrm>
                    <a:prstGeom prst="rect">
                      <a:avLst/>
                    </a:prstGeom>
                    <a:noFill/>
                    <a:ln w="9525">
                      <a:noFill/>
                      <a:miter lim="800000"/>
                      <a:headEnd/>
                      <a:tailEnd/>
                    </a:ln>
                  </pic:spPr>
                </pic:pic>
              </a:graphicData>
            </a:graphic>
          </wp:inline>
        </w:drawing>
      </w:r>
    </w:p>
    <w:p>
      <w:pPr>
        <w:pStyle w:val="137"/>
        <w:rPr>
          <w:kern w:val="0"/>
        </w:rPr>
      </w:pPr>
      <w:r>
        <w:rPr>
          <w:rFonts w:hint="eastAsia"/>
        </w:rPr>
        <w:t>电力系统运行特点</w:t>
      </w:r>
    </w:p>
    <w:p>
      <w:pPr>
        <w:pStyle w:val="128"/>
      </w:pPr>
      <w:r>
        <w:rPr>
          <w:rFonts w:hint="eastAsia"/>
        </w:rPr>
        <w:t>储能技术的应用，可以帮助风电场和光电场输出平滑和“移峰填谷”。随着新能源尤其是风电、光电产业的迅猛发展，将推动大容量储能产业的发展。储能技术在很大程度上可以解决新能源发电的随机性、波动性问题，实现新能源发电的平滑输出，有效调节新能源发电引起的电网电压、频率及相位的变化，使大规模风电及光伏发电方便可靠地并入常规电网。</w:t>
      </w:r>
    </w:p>
    <w:p>
      <w:pPr>
        <w:pStyle w:val="128"/>
      </w:pPr>
      <w:r>
        <w:rPr>
          <w:rFonts w:hint="eastAsia"/>
        </w:rPr>
        <w:t>2014年</w:t>
      </w:r>
      <w:r>
        <w:t>，中国经济持续低迷，石油、</w:t>
      </w:r>
      <w:r>
        <w:rPr>
          <w:rFonts w:hint="eastAsia"/>
        </w:rPr>
        <w:t>煤</w:t>
      </w:r>
      <w:r>
        <w:t>、电</w:t>
      </w:r>
      <w:r>
        <w:rPr>
          <w:rFonts w:hint="eastAsia"/>
        </w:rPr>
        <w:t>等</w:t>
      </w:r>
      <w:r>
        <w:t>基础能源价格一路下行，市场哀声一片。</w:t>
      </w:r>
      <w:r>
        <w:rPr>
          <w:rFonts w:hint="eastAsia"/>
        </w:rPr>
        <w:t>与此同时</w:t>
      </w:r>
      <w:r>
        <w:t>，中国新能源领域的</w:t>
      </w:r>
      <w:r>
        <w:rPr>
          <w:rFonts w:hint="eastAsia"/>
        </w:rPr>
        <w:t>“改革”、“创新”成为</w:t>
      </w:r>
      <w:r>
        <w:t>新常态，中国启动了新一轮的新能源市场改革。</w:t>
      </w:r>
      <w:r>
        <w:rPr>
          <w:rFonts w:hint="eastAsia"/>
        </w:rPr>
        <w:t>2</w:t>
      </w:r>
      <w:r>
        <w:t>015</w:t>
      </w:r>
      <w:r>
        <w:rPr>
          <w:rFonts w:hint="eastAsia"/>
        </w:rPr>
        <w:t>年</w:t>
      </w:r>
      <w:r>
        <w:t>，能源交易成为新一轮的创业热点</w:t>
      </w:r>
      <w:r>
        <w:rPr>
          <w:rFonts w:hint="eastAsia"/>
        </w:rPr>
        <w:t>；“需求侧管理”、“分布式光伏”、“光伏扶贫”、“光伏金融”正在</w:t>
      </w:r>
      <w:r>
        <w:t>推动着分布式光伏</w:t>
      </w:r>
      <w:r>
        <w:rPr>
          <w:rFonts w:hint="eastAsia"/>
        </w:rPr>
        <w:t>相关的</w:t>
      </w:r>
      <w:r>
        <w:t>微网系统的发展。</w:t>
      </w:r>
      <w:r>
        <w:rPr>
          <w:rFonts w:hint="eastAsia"/>
        </w:rPr>
        <w:t>作为</w:t>
      </w:r>
      <w:r>
        <w:t>分布式电力和微网体系的核心</w:t>
      </w:r>
      <w:r>
        <w:rPr>
          <w:rFonts w:hint="eastAsia"/>
        </w:rPr>
        <w:t>支柱</w:t>
      </w:r>
      <w:r>
        <w:t>技术，储能正在孕育着火山爆发的力量。</w:t>
      </w:r>
    </w:p>
    <w:p>
      <w:pPr>
        <w:pStyle w:val="128"/>
      </w:pPr>
      <w:r>
        <w:rPr>
          <w:rFonts w:hint="eastAsia"/>
        </w:rPr>
        <w:t>近两年来</w:t>
      </w:r>
      <w:r>
        <w:t>，中国西北地区的光伏电站</w:t>
      </w:r>
      <w:r>
        <w:rPr>
          <w:rFonts w:hint="eastAsia"/>
        </w:rPr>
        <w:t>受电量</w:t>
      </w:r>
      <w:r>
        <w:t>消纳影响和电网送出的限制，开发</w:t>
      </w:r>
      <w:r>
        <w:rPr>
          <w:rFonts w:hint="eastAsia"/>
        </w:rPr>
        <w:t>规模</w:t>
      </w:r>
      <w:r>
        <w:t>已接近</w:t>
      </w:r>
      <w:r>
        <w:rPr>
          <w:rFonts w:hint="eastAsia"/>
        </w:rPr>
        <w:t>饱和</w:t>
      </w:r>
      <w:r>
        <w:t>，</w:t>
      </w:r>
      <w:r>
        <w:rPr>
          <w:rFonts w:hint="eastAsia"/>
        </w:rPr>
        <w:t>光伏</w:t>
      </w:r>
      <w:r>
        <w:t>电站的建设主战场正在向中东部电量需求集中的城市转移，</w:t>
      </w:r>
      <w:r>
        <w:rPr>
          <w:rFonts w:hint="eastAsia"/>
        </w:rPr>
        <w:t>“农光互补”、“林光互补”、“渔光互补”、“采煤沉陷区治理”等光伏</w:t>
      </w:r>
      <w:r>
        <w:t>新模式应用</w:t>
      </w:r>
      <w:r>
        <w:rPr>
          <w:rFonts w:hint="eastAsia"/>
        </w:rPr>
        <w:t>正是</w:t>
      </w:r>
      <w:r>
        <w:t>适应光伏</w:t>
      </w:r>
      <w:r>
        <w:rPr>
          <w:rFonts w:hint="eastAsia"/>
        </w:rPr>
        <w:t>市场</w:t>
      </w:r>
      <w:r>
        <w:t>转移的新生力量，</w:t>
      </w:r>
      <w:r>
        <w:rPr>
          <w:rFonts w:hint="eastAsia"/>
        </w:rPr>
        <w:t>随着</w:t>
      </w:r>
      <w:r>
        <w:t>光伏市场向中东部转移，</w:t>
      </w:r>
      <w:r>
        <w:rPr>
          <w:rFonts w:hint="eastAsia"/>
        </w:rPr>
        <w:t>稀缺</w:t>
      </w:r>
      <w:r>
        <w:t>的土地资源越发成为制约电站发展的限制性条件</w:t>
      </w:r>
      <w:r>
        <w:rPr>
          <w:rFonts w:hint="eastAsia"/>
        </w:rPr>
        <w:t>。</w:t>
      </w:r>
      <w:r>
        <w:t>从</w:t>
      </w:r>
      <w:r>
        <w:rPr>
          <w:rFonts w:hint="eastAsia"/>
        </w:rPr>
        <w:t>国外</w:t>
      </w:r>
      <w:r>
        <w:t>光伏</w:t>
      </w:r>
      <w:r>
        <w:rPr>
          <w:rFonts w:hint="eastAsia"/>
        </w:rPr>
        <w:t>市场</w:t>
      </w:r>
      <w:r>
        <w:t>的发展</w:t>
      </w:r>
      <w:r>
        <w:rPr>
          <w:rFonts w:hint="eastAsia"/>
        </w:rPr>
        <w:t>历程</w:t>
      </w:r>
      <w:r>
        <w:t>和国内</w:t>
      </w:r>
      <w:r>
        <w:rPr>
          <w:rFonts w:hint="eastAsia"/>
        </w:rPr>
        <w:t>光伏</w:t>
      </w:r>
      <w:r>
        <w:t>市场发展的转变，可以看出，未来，分布式光伏将</w:t>
      </w:r>
      <w:r>
        <w:rPr>
          <w:rFonts w:hint="eastAsia"/>
        </w:rPr>
        <w:t>逐步</w:t>
      </w:r>
      <w:r>
        <w:t>扩张并成为主要光伏应用市场。</w:t>
      </w:r>
    </w:p>
    <w:p>
      <w:pPr>
        <w:pStyle w:val="128"/>
      </w:pPr>
      <w:r>
        <w:rPr>
          <w:rFonts w:hint="eastAsia"/>
        </w:rPr>
        <w:t>同时，受节能减排和促进汽车产业发展的双重目标下，新能源电动汽车将是未来汽车的主要方向，伴随着电动汽车的发展，以及电池成本的逐步下降和技术的日趋成熟，高效储能电池必将逐步取代内燃机作为汽车的主要动力。而新能源汽车的发展也势必将推动电池储能产业的发展。</w:t>
      </w:r>
    </w:p>
    <w:p>
      <w:pPr>
        <w:pStyle w:val="128"/>
      </w:pPr>
      <w:r>
        <w:rPr>
          <w:rFonts w:hint="eastAsia"/>
        </w:rPr>
        <w:t>储能技术可以说是新能源产业革命的核心，渭南市</w:t>
      </w:r>
      <w:r>
        <w:t>应</w:t>
      </w:r>
      <w:r>
        <w:rPr>
          <w:rFonts w:hint="eastAsia"/>
        </w:rPr>
        <w:t>抓好新能源的发展机遇及</w:t>
      </w:r>
      <w:r>
        <w:t>光伏市场转移的</w:t>
      </w:r>
      <w:r>
        <w:rPr>
          <w:rFonts w:hint="eastAsia"/>
        </w:rPr>
        <w:t>机遇</w:t>
      </w:r>
      <w:r>
        <w:t>，充分利用新能源汽车产业发展的带动作用，大力发展储能技术</w:t>
      </w:r>
      <w:r>
        <w:rPr>
          <w:rFonts w:hint="eastAsia"/>
        </w:rPr>
        <w:t>，为</w:t>
      </w:r>
      <w:r>
        <w:t>未来进入分布式光伏市场和移动电源应用市场做好准备，同时促进新能源汽车产业做大做强。</w:t>
      </w:r>
    </w:p>
    <w:p>
      <w:pPr>
        <w:pStyle w:val="128"/>
      </w:pPr>
      <w:r>
        <w:rPr>
          <w:rFonts w:hint="eastAsia"/>
        </w:rPr>
        <w:t>储能可以按照存储能量所用的方式方法的不同分为机械储能、化学储能和电磁储能3大类。机械储能有弹性储能、液压储能、抽水储能、压缩空气储能和飞轮储能等类型，其中抽水储能电站由于具有启动灵活、爬坡速度快和在低谷储能的特点，在风电光电调峰中使用较多。</w:t>
      </w:r>
      <w:r>
        <w:t>抽水蓄能电站是电力系统中最可靠、最经济、寿命周期长、容量大、技术最成熟的储能装置，是新能源发展的重要组成部分。通过配套建设抽水蓄能电站，可降低核电机组运行维护费用、延长机组寿命;有效减少风电</w:t>
      </w:r>
      <w:r>
        <w:rPr>
          <w:rFonts w:hint="eastAsia"/>
        </w:rPr>
        <w:t>光电</w:t>
      </w:r>
      <w:r>
        <w:t>并网运行对电网的冲击，提高风电</w:t>
      </w:r>
      <w:r>
        <w:rPr>
          <w:rFonts w:hint="eastAsia"/>
        </w:rPr>
        <w:t>光电场</w:t>
      </w:r>
      <w:r>
        <w:t>和电网运行的协调性以及电网运行的安全稳定性。</w:t>
      </w:r>
    </w:p>
    <w:p>
      <w:pPr>
        <w:pStyle w:val="129"/>
      </w:pPr>
      <w:r>
        <w:drawing>
          <wp:inline distT="0" distB="0" distL="0" distR="0">
            <wp:extent cx="3599815" cy="1778000"/>
            <wp:effectExtent l="19050" t="0" r="450" b="0"/>
            <wp:docPr id="238" name="图片 25" descr="C:\Users\DFF\AppData\Roaming\Tencent\Users\497121372\QQ\WinTemp\RichOle\CHJ`7VF37TRYHC`)XI_B(`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5" descr="C:\Users\DFF\AppData\Roaming\Tencent\Users\497121372\QQ\WinTemp\RichOle\CHJ`7VF37TRYHC`)XI_B(`K.png"/>
                    <pic:cNvPicPr>
                      <a:picLocks noChangeAspect="1" noChangeArrowheads="1"/>
                    </pic:cNvPicPr>
                  </pic:nvPicPr>
                  <pic:blipFill>
                    <a:blip r:embed="rId55"/>
                    <a:srcRect/>
                    <a:stretch>
                      <a:fillRect/>
                    </a:stretch>
                  </pic:blipFill>
                  <pic:spPr>
                    <a:xfrm>
                      <a:off x="0" y="0"/>
                      <a:ext cx="3600000" cy="1778562"/>
                    </a:xfrm>
                    <a:prstGeom prst="rect">
                      <a:avLst/>
                    </a:prstGeom>
                    <a:noFill/>
                    <a:ln w="9525">
                      <a:noFill/>
                      <a:miter lim="800000"/>
                      <a:headEnd/>
                      <a:tailEnd/>
                    </a:ln>
                  </pic:spPr>
                </pic:pic>
              </a:graphicData>
            </a:graphic>
          </wp:inline>
        </w:drawing>
      </w:r>
    </w:p>
    <w:p>
      <w:pPr>
        <w:pStyle w:val="137"/>
        <w:rPr>
          <w:kern w:val="0"/>
        </w:rPr>
      </w:pPr>
      <w:r>
        <w:rPr>
          <w:rFonts w:hint="eastAsia"/>
        </w:rPr>
        <w:t>抽水蓄能电站的运行原理示意图</w:t>
      </w:r>
    </w:p>
    <w:p>
      <w:pPr>
        <w:pStyle w:val="128"/>
      </w:pPr>
      <w:r>
        <w:rPr>
          <w:rFonts w:hint="eastAsia"/>
        </w:rPr>
        <w:t>化学储能有铅酸电池、镍系电池、锂系电池、液流电池、钠硫电池等。目前使用较多的是锂电池，锂电池具有能量密度高、充放电速度快、重量轻、寿命长、无环境污染等优点，循环寿命长，一般均可达到500次以上，甚至1000以上。液流储能电池是一类适合于固定式大规模储能（储电）的装置，相比于目前常用的铅酸蓄电池、镍镉电池等二次蓄电池，具有功率和储能容量可独立设计（储能介质存储在电池外部）、效率高、寿命长、可深度放电、环境友好等优点，是规模储能技术的首选技术之一。</w:t>
      </w:r>
    </w:p>
    <w:p>
      <w:pPr>
        <w:pStyle w:val="129"/>
        <w:rPr>
          <w:kern w:val="0"/>
        </w:rPr>
      </w:pPr>
      <w:r>
        <w:rPr>
          <w:kern w:val="0"/>
        </w:rPr>
        <w:drawing>
          <wp:inline distT="0" distB="0" distL="0" distR="0">
            <wp:extent cx="3691890" cy="2986405"/>
            <wp:effectExtent l="0" t="0" r="0" b="0"/>
            <wp:docPr id="233" name="图片 16" descr="C:\Users\DFF\AppData\Roaming\Tencent\Users\497121372\QQ\WinTemp\RichOle\~PIM]0ZW8]NY34]S$]L9)N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6" descr="C:\Users\DFF\AppData\Roaming\Tencent\Users\497121372\QQ\WinTemp\RichOle\~PIM]0ZW8]NY34]S$]L9)NV.png"/>
                    <pic:cNvPicPr>
                      <a:picLocks noChangeAspect="1" noChangeArrowheads="1"/>
                    </pic:cNvPicPr>
                  </pic:nvPicPr>
                  <pic:blipFill>
                    <a:blip r:embed="rId56"/>
                    <a:srcRect/>
                    <a:stretch>
                      <a:fillRect/>
                    </a:stretch>
                  </pic:blipFill>
                  <pic:spPr>
                    <a:xfrm>
                      <a:off x="0" y="0"/>
                      <a:ext cx="3715578" cy="3005445"/>
                    </a:xfrm>
                    <a:prstGeom prst="rect">
                      <a:avLst/>
                    </a:prstGeom>
                    <a:noFill/>
                    <a:ln w="9525">
                      <a:noFill/>
                      <a:miter lim="800000"/>
                      <a:headEnd/>
                      <a:tailEnd/>
                    </a:ln>
                  </pic:spPr>
                </pic:pic>
              </a:graphicData>
            </a:graphic>
          </wp:inline>
        </w:drawing>
      </w:r>
    </w:p>
    <w:p>
      <w:pPr>
        <w:pStyle w:val="137"/>
      </w:pPr>
      <w:r>
        <w:rPr>
          <w:rFonts w:hint="eastAsia"/>
        </w:rPr>
        <w:t>不同储能技术的成熟度及应用</w:t>
      </w:r>
    </w:p>
    <w:p>
      <w:pPr>
        <w:pStyle w:val="125"/>
      </w:pPr>
      <w:bookmarkStart w:id="52" w:name="_Toc32606"/>
      <w:r>
        <w:rPr>
          <w:rFonts w:hint="eastAsia"/>
        </w:rPr>
        <w:t>风能综合应用</w:t>
      </w:r>
      <w:bookmarkEnd w:id="52"/>
    </w:p>
    <w:p>
      <w:pPr>
        <w:pStyle w:val="126"/>
      </w:pPr>
      <w:r>
        <w:rPr>
          <w:rFonts w:hint="eastAsia"/>
        </w:rPr>
        <w:t>风能</w:t>
      </w:r>
      <w:r>
        <w:t>产业发展思路</w:t>
      </w:r>
    </w:p>
    <w:p>
      <w:pPr>
        <w:pStyle w:val="128"/>
      </w:pPr>
      <w:r>
        <w:rPr>
          <w:rFonts w:hint="eastAsia"/>
        </w:rPr>
        <w:t>加强风电装备研发，增强大型风电机组整机和控制系统设计能力，提高发电机、齿轮箱、叶片以及轴承、变流器等关键零部件开发能力，在风电运行控制、大规模并网、储能技术方面取得重大突破。</w:t>
      </w:r>
    </w:p>
    <w:p>
      <w:pPr>
        <w:pStyle w:val="128"/>
      </w:pPr>
      <w:r>
        <w:rPr>
          <w:rFonts w:hint="eastAsia"/>
        </w:rPr>
        <w:t>渭南市大部分区域年平均风速为5.0m/s～5.5m/s，属于典型的低风速风电场区，区域风电开发很大程度上取决于风电新技术、新设备的研发。从风能产业发展的思路出发，可将渭南市打造成为全国低风速风电场实验区，低风速风机及装备制造研发基地。要实现这两个目标，需要做到以下几个方面：</w:t>
      </w:r>
    </w:p>
    <w:p>
      <w:pPr>
        <w:widowControl/>
        <w:adjustRightInd w:val="0"/>
        <w:snapToGrid w:val="0"/>
        <w:ind w:firstLine="480" w:firstLineChars="200"/>
        <w:rPr>
          <w:rFonts w:cs="仿宋_GB2312" w:asciiTheme="minorEastAsia" w:hAnsiTheme="minorEastAsia" w:eastAsiaTheme="minorEastAsia"/>
          <w:bCs/>
          <w:kern w:val="0"/>
          <w:szCs w:val="32"/>
        </w:rPr>
      </w:pPr>
      <w:r>
        <w:rPr>
          <w:rFonts w:hint="eastAsia" w:cs="仿宋_GB2312" w:asciiTheme="minorEastAsia" w:hAnsiTheme="minorEastAsia" w:eastAsiaTheme="minorEastAsia"/>
          <w:bCs/>
          <w:kern w:val="0"/>
          <w:szCs w:val="32"/>
        </w:rPr>
        <w:t>（1）尽快开展渭南市风能资源详查工作，完善测风工作，同时掌握风电新技术和新设备研发进展情况，使低风速风能得到有效开发利用，充分挖掘渭南市风能资源开发潜力，使渭南市风电开发具有规模效应。</w:t>
      </w:r>
    </w:p>
    <w:p>
      <w:pPr>
        <w:widowControl/>
        <w:adjustRightInd w:val="0"/>
        <w:snapToGrid w:val="0"/>
        <w:ind w:firstLine="480" w:firstLineChars="200"/>
        <w:rPr>
          <w:rFonts w:ascii="宋体"/>
          <w:bCs/>
          <w:kern w:val="0"/>
        </w:rPr>
      </w:pPr>
      <w:r>
        <w:rPr>
          <w:rFonts w:hint="eastAsia" w:cs="仿宋_GB2312" w:asciiTheme="minorEastAsia" w:hAnsiTheme="minorEastAsia" w:eastAsiaTheme="minorEastAsia"/>
          <w:bCs/>
          <w:kern w:val="0"/>
          <w:szCs w:val="32"/>
        </w:rPr>
        <w:t>（2）当渭南市风电开发具有一定规模时，渭南市可</w:t>
      </w:r>
      <w:r>
        <w:rPr>
          <w:rFonts w:hint="eastAsia" w:ascii="宋体"/>
          <w:bCs/>
          <w:kern w:val="0"/>
        </w:rPr>
        <w:t>积极引入大型风电机组研究机构和装备制造生产企业，特别是针对低风速区风机的研发机构或生产企业，实现风电设备的本地化，打造全国低风速风电场实验区，形成以风能开发和风电设备制造为核心的产业聚集区和配套生产基地。</w:t>
      </w:r>
    </w:p>
    <w:p>
      <w:pPr>
        <w:widowControl/>
        <w:adjustRightInd w:val="0"/>
        <w:snapToGrid w:val="0"/>
        <w:ind w:firstLine="480" w:firstLineChars="200"/>
        <w:rPr>
          <w:rFonts w:ascii="宋体"/>
          <w:bCs/>
          <w:kern w:val="0"/>
        </w:rPr>
      </w:pPr>
      <w:r>
        <w:rPr>
          <w:rFonts w:hint="eastAsia" w:ascii="宋体"/>
          <w:bCs/>
          <w:kern w:val="0"/>
        </w:rPr>
        <w:t>（3）当渭南市风电装机容量不足以吸引整机厂商的时候，一方面要让风机厂商看到整个关中地区风电开发的潜力，以及与渭南市接壤的山西、河南两省低风速区风电开发前景。另一方面也可以引入</w:t>
      </w:r>
      <w:r>
        <w:rPr>
          <w:rFonts w:hint="eastAsia"/>
        </w:rPr>
        <w:t>生产风机零部件的厂商，如：发电机、齿轮箱、叶片、机舱罩、轴承、塔筒和法兰等生产厂商。</w:t>
      </w:r>
    </w:p>
    <w:p>
      <w:pPr>
        <w:pStyle w:val="128"/>
      </w:pPr>
      <w:r>
        <w:rPr>
          <w:rFonts w:hint="eastAsia" w:ascii="仿宋_GB2312" w:hAnsi="仿宋_GB2312" w:cs="仿宋_GB2312"/>
          <w:szCs w:val="32"/>
        </w:rPr>
        <w:t>总之，</w:t>
      </w:r>
      <w:r>
        <w:rPr>
          <w:rFonts w:hint="eastAsia"/>
        </w:rPr>
        <w:t>渭南市风能产业的发展应以大型风电场开发为主，在形成规模效应的基础上，引入整机厂商或是风机零部件生产厂商，通过风电场开发，带动渭南市整个风电产业链的发展。</w:t>
      </w:r>
    </w:p>
    <w:p>
      <w:pPr>
        <w:pStyle w:val="126"/>
      </w:pPr>
      <w:r>
        <w:rPr>
          <w:rFonts w:hint="eastAsia"/>
        </w:rPr>
        <w:t>重点发展技术</w:t>
      </w:r>
    </w:p>
    <w:p>
      <w:pPr>
        <w:pStyle w:val="128"/>
      </w:pPr>
      <w:r>
        <w:rPr>
          <w:rFonts w:hint="eastAsia"/>
        </w:rPr>
        <w:t>近年来，我国内陆风能资源丰富区——“三北地区”（西北、东北和华北）风电开发陷入严重饱和状态，已连续几年造成非常严重的弃风限电问题。据统计，2015年全国风电弃风电量339亿kW·h，同比增加213亿kW·h，平均弃风率15%，同比增加7个百分点。在风能资源好的地区因弃风限电问题而使风电开发受限的背景下，低风速区风电场开发逐渐引起各方关注和重视。</w:t>
      </w:r>
    </w:p>
    <w:p>
      <w:pPr>
        <w:pStyle w:val="128"/>
      </w:pPr>
      <w:bookmarkStart w:id="53" w:name="OLE_LINK138"/>
      <w:bookmarkStart w:id="54" w:name="OLE_LINK137"/>
      <w:r>
        <w:rPr>
          <w:rFonts w:hint="eastAsia"/>
        </w:rPr>
        <w:t>渭南市属于典型的低风速区。</w:t>
      </w:r>
      <w:bookmarkEnd w:id="53"/>
      <w:bookmarkEnd w:id="54"/>
      <w:r>
        <w:rPr>
          <w:rFonts w:hint="eastAsia"/>
        </w:rPr>
        <w:t>通过对渭南市风能资源进行分析，渭南市风电项目风速普遍较小，风功率密度等级为1级。大部分风电场80m高度年平均风速约为4.9m/s～5.5m/s，年平均风功率密度约为140W/m</w:t>
      </w:r>
      <w:r>
        <w:rPr>
          <w:rFonts w:hint="eastAsia"/>
          <w:vertAlign w:val="superscript"/>
        </w:rPr>
        <w:t>2</w:t>
      </w:r>
      <w:r>
        <w:rPr>
          <w:rFonts w:hint="eastAsia"/>
        </w:rPr>
        <w:t>～230W/m</w:t>
      </w:r>
      <w:r>
        <w:rPr>
          <w:rFonts w:hint="eastAsia"/>
          <w:vertAlign w:val="superscript"/>
        </w:rPr>
        <w:t>2</w:t>
      </w:r>
      <w:r>
        <w:rPr>
          <w:rFonts w:hint="eastAsia"/>
        </w:rPr>
        <w:t>。</w:t>
      </w:r>
      <w:bookmarkStart w:id="55" w:name="OLE_LINK139"/>
      <w:bookmarkStart w:id="56" w:name="OLE_LINK140"/>
      <w:r>
        <w:rPr>
          <w:rFonts w:hint="eastAsia"/>
        </w:rPr>
        <w:t>在10年前，渭南地区被认为是不具备风电开发价值的区域。但随着风电技术的不断发展进步，渭南地区风电发展已经有了重大突破。</w:t>
      </w:r>
      <w:bookmarkEnd w:id="55"/>
      <w:bookmarkEnd w:id="56"/>
      <w:r>
        <w:rPr>
          <w:rFonts w:hint="eastAsia"/>
        </w:rPr>
        <w:t>截止目前，渭南市已建、在建风电项目装机容量突破20万kW。“十三五”期间渭南市风电发展需进一步依靠风电重点技术的发展。</w:t>
      </w:r>
    </w:p>
    <w:p>
      <w:pPr>
        <w:pStyle w:val="128"/>
      </w:pPr>
      <w:r>
        <w:rPr>
          <w:rFonts w:hint="eastAsia"/>
        </w:rPr>
        <w:t>（1）低风速风机研发</w:t>
      </w:r>
    </w:p>
    <w:p>
      <w:pPr>
        <w:pStyle w:val="128"/>
      </w:pPr>
      <w:bookmarkStart w:id="57" w:name="OLE_LINK144"/>
      <w:bookmarkStart w:id="58" w:name="OLE_LINK143"/>
      <w:r>
        <w:rPr>
          <w:rFonts w:hint="eastAsia"/>
        </w:rPr>
        <w:t>自2010年开始，基于对整个风电行业大势的洞察和风电并网瓶颈的预判，国内各大风机厂商将低风速领域列为市场拓展的重点，相继投入大量资金和人力进行低风速风机研发工作。</w:t>
      </w:r>
      <w:bookmarkEnd w:id="57"/>
      <w:bookmarkEnd w:id="58"/>
      <w:r>
        <w:rPr>
          <w:rFonts w:hint="eastAsia"/>
        </w:rPr>
        <w:t>由于低风速区风能密度较低，风电机组必须通过采用更大的叶片和优化的设计捕获更多的风能，从而提高发电效率。低风速技术绝非简单加长叶片这么简单，需要掌握如何控制叶片质量及载荷的技术，以及提升低风速风机的能量捕获性能，优化电气传动链的能量转换效能，还有控制方面的优化提升等。</w:t>
      </w:r>
    </w:p>
    <w:p>
      <w:pPr>
        <w:pStyle w:val="128"/>
      </w:pPr>
      <w:r>
        <w:rPr>
          <w:rFonts w:hint="eastAsia"/>
        </w:rPr>
        <w:t>在较短的时间里，各大风机厂商均在低风速风电机组研发方面取得了巨大成就，风机的单机容量不断地被扩大、叶片长度不断地被增加、塔筒高度不断地被抬高、风电机组的运行控制策略不断地被优化等。当前，单机容量为2.0MW风机成为主流机型，各风机厂商研发的2.0MW低风速风机叶轮直径普遍可以达到121m，甚至个别厂商还在研发叶轮直径为126m的2.0MW风电机组；此外，个别厂商正在研发适合低风速地区的2.5MW和3.0MW风电机组，这些机组叶轮直径在130m～140m之间。这些长叶片低风速型风电机组的出现为低风速地区甚至超低风速地区风电开发带来了新的曙光。</w:t>
      </w:r>
    </w:p>
    <w:p>
      <w:pPr>
        <w:pStyle w:val="128"/>
      </w:pPr>
      <w:r>
        <w:rPr>
          <w:rFonts w:hint="eastAsia"/>
        </w:rPr>
        <w:t>（2）</w:t>
      </w:r>
      <w:bookmarkStart w:id="59" w:name="OLE_LINK141"/>
      <w:bookmarkStart w:id="60" w:name="OLE_LINK142"/>
      <w:r>
        <w:rPr>
          <w:rFonts w:hint="eastAsia"/>
        </w:rPr>
        <w:t>高塔架技术</w:t>
      </w:r>
      <w:bookmarkEnd w:id="59"/>
      <w:bookmarkEnd w:id="60"/>
    </w:p>
    <w:p>
      <w:pPr>
        <w:pStyle w:val="128"/>
      </w:pPr>
      <w:r>
        <w:rPr>
          <w:rFonts w:hint="eastAsia"/>
        </w:rPr>
        <w:t>2016年6月12日，三部委联合发布《中国制造2025--能源装备实施方案》促能源装备发展，促进开发适用于轮毂中心高度100m～200m大型陆上风力发电机组。</w:t>
      </w:r>
    </w:p>
    <w:p>
      <w:pPr>
        <w:pStyle w:val="128"/>
      </w:pPr>
      <w:r>
        <w:rPr>
          <w:rFonts w:hint="eastAsia"/>
        </w:rPr>
        <w:t>国外高塔架技术已经发展多年，并有大量的工程实际应用，主要采用</w:t>
      </w:r>
      <w:bookmarkStart w:id="61" w:name="OLE_LINK145"/>
      <w:bookmarkStart w:id="62" w:name="OLE_LINK146"/>
      <w:r>
        <w:rPr>
          <w:rFonts w:hint="eastAsia"/>
        </w:rPr>
        <w:t>全现浇式混凝土塔架、全预制式混凝土塔架、混合塔架等型式</w:t>
      </w:r>
      <w:bookmarkEnd w:id="61"/>
      <w:bookmarkEnd w:id="62"/>
      <w:r>
        <w:rPr>
          <w:rFonts w:hint="eastAsia"/>
        </w:rPr>
        <w:t>，塔架高度最高已经达164m，主要由Enercon、Nordex、REpower、Gamesa、Siemens等厂家应用。国内对于用于风力发电机组的混合塔架的研究相对较少。</w:t>
      </w:r>
    </w:p>
    <w:p>
      <w:pPr>
        <w:pStyle w:val="128"/>
      </w:pPr>
      <w:r>
        <w:rPr>
          <w:rFonts w:hint="eastAsia"/>
        </w:rPr>
        <w:t>自2011年开始，中国电建集团西北勘测设计研究院有限公司与金风科技签订联合开发《120m混合式风电塔架设计开发与试验研究》技术合作协议，并在中国电建集团公司申请《风力发电机组预应力混凝土混合塔架技术研究》科研项目立项，正式开始对预应力混凝土-钢混合塔架技术的研究工作，是国内最早开始高塔架技术实质研究的单位。项目于2014年完成课题研究并通过项目验收，目前已经形成了拥有自主知识产权的混合塔架结构设计及施工技术。</w:t>
      </w:r>
    </w:p>
    <w:p>
      <w:pPr>
        <w:pStyle w:val="128"/>
      </w:pPr>
      <w:r>
        <w:rPr>
          <w:rFonts w:hint="eastAsia"/>
        </w:rPr>
        <w:t>相比传统的钢制塔架，预应力混凝土混合塔架有如下优点：</w:t>
      </w:r>
    </w:p>
    <w:p>
      <w:pPr>
        <w:pStyle w:val="128"/>
      </w:pPr>
      <w:r>
        <w:rPr>
          <w:rFonts w:hint="eastAsia"/>
        </w:rPr>
        <w:t>（1）运输不受限。目前较大单机容量机组的塔架底段外径已达4.3m，已达国内运输的上限值。当单机容量或叶轮直径继续增大，传统钢制塔架同时该限制直径无法承受大叶轮、高轮毂机组的荷载，这意味着大机组、高轮毂的钢结构塔架无法适应，而采用分片钢结构塔架或分片预应力混凝土-钢混合塔架则是较好的选择。</w:t>
      </w:r>
    </w:p>
    <w:p>
      <w:pPr>
        <w:pStyle w:val="128"/>
      </w:pPr>
      <w:r>
        <w:rPr>
          <w:rFonts w:hint="eastAsia"/>
        </w:rPr>
        <w:t>（2）动力性能好，无发电量损失。相比钢制塔架，混凝土混合塔架结构刚度较大，频率高、振幅小，便于施工安装及后期维护；与发电机不存在共振区间，无发电量损失。</w:t>
      </w:r>
    </w:p>
    <w:p>
      <w:pPr>
        <w:pStyle w:val="128"/>
      </w:pPr>
      <w:r>
        <w:rPr>
          <w:rFonts w:hint="eastAsia"/>
        </w:rPr>
        <w:t>（3）抗冲击和抗疲劳性能好。预应力混凝土结构具有良好的阻尼特性，吸能效果好，其抗冲击和疲劳性能相比钢制塔架更加优越；</w:t>
      </w:r>
    </w:p>
    <w:p>
      <w:pPr>
        <w:pStyle w:val="128"/>
      </w:pPr>
      <w:r>
        <w:rPr>
          <w:rFonts w:hint="eastAsia"/>
        </w:rPr>
        <w:t>（4）耐腐蚀性能好。混凝土塔架相比钢制塔架在抗腐蚀性能、耐久性能上均要优越；</w:t>
      </w:r>
    </w:p>
    <w:p>
      <w:pPr>
        <w:pStyle w:val="128"/>
      </w:pPr>
      <w:r>
        <w:rPr>
          <w:rFonts w:hint="eastAsia"/>
        </w:rPr>
        <w:t>（5）底部空间大。混凝土塔架底端直径较大，空间大，利于通风散热，可以将箱变置于塔筒内部，能节省箱变基础征地、基础及电缆成本。</w:t>
      </w:r>
    </w:p>
    <w:p>
      <w:pPr>
        <w:pStyle w:val="128"/>
      </w:pPr>
      <w:r>
        <w:rPr>
          <w:rFonts w:hint="eastAsia"/>
        </w:rPr>
        <w:t>（6）适用范围广。混凝土塔架由于混凝土材料的特殊性能尤其适用于抗风沙、抗烟雾、防洪区等区域。</w:t>
      </w:r>
    </w:p>
    <w:p>
      <w:pPr>
        <w:pStyle w:val="128"/>
      </w:pPr>
      <w:r>
        <w:rPr>
          <w:rFonts w:hint="eastAsia"/>
        </w:rPr>
        <w:t>（7）维护成本低。由于混凝土材料本身特点，加上预应力体系的安全可靠性能可以减少后期维护次数，降低了后期维护成本。</w:t>
      </w:r>
    </w:p>
    <w:p>
      <w:pPr>
        <w:pStyle w:val="128"/>
      </w:pPr>
      <w:r>
        <w:rPr>
          <w:rFonts w:hint="eastAsia"/>
        </w:rPr>
        <w:t>预应力混凝土混合塔架由于其具备钢筋混凝土结构的特点，适用于风速低、湍流强度大、风切变指数高以及具有其它特殊要求的风电开发环境。通过目前国内外的研究和对比，预应力混凝土-钢混合塔架整体支撑结构的成本相比与传统钢结构塔架整体支撑结构具有一定的优势，特别是高度超过100m后，优势明显，具有很好的市场前景。</w:t>
      </w:r>
    </w:p>
    <w:p>
      <w:pPr>
        <w:pStyle w:val="128"/>
      </w:pPr>
      <w:r>
        <w:rPr>
          <w:rFonts w:hint="eastAsia"/>
        </w:rPr>
        <w:t>金风科技于2015年设立了一台1.5MW样机采用的是100m高的预应力混凝土-钢混合塔架；国金新能科技有限公司引入欧洲纯混凝土塔架技术，已在新疆哈密等地设立了120m高纯混凝土塔架。目前，高塔架技术的研究成果已经在多地得到了推广应用，取得了很好的经济效果。</w:t>
      </w:r>
    </w:p>
    <w:p>
      <w:pPr>
        <w:pStyle w:val="125"/>
      </w:pPr>
      <w:bookmarkStart w:id="63" w:name="_Toc28518"/>
      <w:r>
        <w:rPr>
          <w:rFonts w:hint="eastAsia"/>
        </w:rPr>
        <w:t>地热能综合利用</w:t>
      </w:r>
      <w:bookmarkEnd w:id="63"/>
    </w:p>
    <w:p>
      <w:pPr>
        <w:pStyle w:val="126"/>
      </w:pPr>
      <w:r>
        <w:rPr>
          <w:rFonts w:hint="eastAsia"/>
        </w:rPr>
        <w:t>产业</w:t>
      </w:r>
      <w:r>
        <w:t>发展思路</w:t>
      </w:r>
    </w:p>
    <w:p>
      <w:pPr>
        <w:adjustRightInd w:val="0"/>
        <w:snapToGrid w:val="0"/>
        <w:ind w:firstLine="480"/>
        <w:rPr>
          <w:rFonts w:cs="宋体" w:asciiTheme="minorEastAsia" w:hAnsiTheme="minorEastAsia" w:eastAsiaTheme="minorEastAsia"/>
        </w:rPr>
      </w:pPr>
      <w:bookmarkStart w:id="64" w:name="OLE_LINK55"/>
      <w:bookmarkStart w:id="65" w:name="OLE_LINK53"/>
      <w:r>
        <w:rPr>
          <w:rFonts w:hint="eastAsia" w:cs="宋体" w:asciiTheme="minorEastAsia" w:hAnsiTheme="minorEastAsia" w:eastAsiaTheme="minorEastAsia"/>
        </w:rPr>
        <w:t>（1）鼓励公共建筑优先使用浅层地温能</w:t>
      </w:r>
    </w:p>
    <w:p>
      <w:pPr>
        <w:adjustRightInd w:val="0"/>
        <w:snapToGrid w:val="0"/>
        <w:ind w:firstLine="480"/>
        <w:rPr>
          <w:rFonts w:cs="宋体" w:asciiTheme="minorEastAsia" w:hAnsiTheme="minorEastAsia" w:eastAsiaTheme="minorEastAsia"/>
        </w:rPr>
      </w:pPr>
      <w:r>
        <w:rPr>
          <w:rFonts w:hint="eastAsia" w:cs="宋体" w:asciiTheme="minorEastAsia" w:hAnsiTheme="minorEastAsia" w:eastAsiaTheme="minorEastAsia"/>
        </w:rPr>
        <w:t>对于浅层地温能相关产业，其开发技术、施工工艺、设计制造等相关产业体系较为成熟完善，利用方式主要是地源热泵（土壤源热泵、地表水源热泵、地下水源热泵）等成熟技术，且利用受资源情况、建筑性质及用能需求等因素的影响交大，应该根据目标建筑特性因地制宜的确定开发方案。</w:t>
      </w:r>
    </w:p>
    <w:p>
      <w:pPr>
        <w:adjustRightInd w:val="0"/>
        <w:snapToGrid w:val="0"/>
        <w:ind w:firstLine="480"/>
        <w:rPr>
          <w:rFonts w:cs="宋体" w:asciiTheme="minorEastAsia" w:hAnsiTheme="minorEastAsia" w:eastAsiaTheme="minorEastAsia"/>
        </w:rPr>
      </w:pPr>
      <w:r>
        <w:rPr>
          <w:rFonts w:hint="eastAsia" w:cs="宋体" w:asciiTheme="minorEastAsia" w:hAnsiTheme="minorEastAsia" w:eastAsiaTheme="minorEastAsia"/>
        </w:rPr>
        <w:t>根据渭南市现状，推荐鼓励公共建筑优先使用浅层地温能供冷供热。大型公共建筑用能需求旺盛、规律性强、冬夏季冷热负荷曲线较为稳定，对浅层地温能的利用较为有利。故浅层地温能开发利用规划重点区域为主城区及新建开发区。在重点区域积极促进新建国家机关办公建筑，政府投资的学校、医院、博物馆、科技馆、体育馆等满足社会公共需要的公益性建筑，以及单体建筑面积超过2万平方米的机场、车站、宾馆、饭店、商场、写字楼等大型公共建筑优先采用地源热泵技术供暖制冷。鼓励既有化石能源锅炉房供热及传统中央空调的建筑物改用地源热泵系统或复合式热泵系统，以提高能源利用效率，实现节能减排。</w:t>
      </w:r>
    </w:p>
    <w:p>
      <w:pPr>
        <w:adjustRightInd w:val="0"/>
        <w:snapToGrid w:val="0"/>
        <w:ind w:firstLine="480"/>
        <w:rPr>
          <w:rFonts w:cs="宋体" w:asciiTheme="minorEastAsia" w:hAnsiTheme="minorEastAsia" w:eastAsiaTheme="minorEastAsia"/>
        </w:rPr>
      </w:pPr>
      <w:r>
        <w:rPr>
          <w:rFonts w:hint="eastAsia" w:cs="宋体" w:asciiTheme="minorEastAsia" w:hAnsiTheme="minorEastAsia" w:eastAsiaTheme="minorEastAsia"/>
        </w:rPr>
        <w:t>（2）稳步推进中深层地热能梯级利用</w:t>
      </w:r>
    </w:p>
    <w:p>
      <w:pPr>
        <w:adjustRightInd w:val="0"/>
        <w:snapToGrid w:val="0"/>
        <w:ind w:firstLine="480"/>
        <w:rPr>
          <w:rFonts w:cs="宋体" w:asciiTheme="minorEastAsia" w:hAnsiTheme="minorEastAsia" w:eastAsiaTheme="minorEastAsia"/>
        </w:rPr>
      </w:pPr>
      <w:r>
        <w:rPr>
          <w:rFonts w:hint="eastAsia" w:cs="宋体" w:asciiTheme="minorEastAsia" w:hAnsiTheme="minorEastAsia" w:eastAsiaTheme="minorEastAsia"/>
        </w:rPr>
        <w:t>开展地热能应用专项规划，研究地热能全生命周期梯级能源利用方法，推进地热能应用技术和回灌技术，推广地热能应用，在全市范围内建设地热能全生命周期利用示范项目。</w:t>
      </w:r>
    </w:p>
    <w:p>
      <w:pPr>
        <w:adjustRightInd w:val="0"/>
        <w:snapToGrid w:val="0"/>
        <w:ind w:firstLine="480"/>
        <w:rPr>
          <w:rFonts w:cs="宋体" w:asciiTheme="minorEastAsia" w:hAnsiTheme="minorEastAsia" w:eastAsiaTheme="minorEastAsia"/>
        </w:rPr>
      </w:pPr>
      <w:r>
        <w:rPr>
          <w:rFonts w:cs="宋体" w:asciiTheme="minorEastAsia" w:hAnsiTheme="minorEastAsia" w:eastAsiaTheme="minorEastAsia"/>
        </w:rPr>
        <w:t>为进一步提高资源的利用效率</w:t>
      </w:r>
      <w:r>
        <w:rPr>
          <w:rFonts w:hint="eastAsia" w:cs="宋体" w:asciiTheme="minorEastAsia" w:hAnsiTheme="minorEastAsia" w:eastAsiaTheme="minorEastAsia"/>
        </w:rPr>
        <w:t>，</w:t>
      </w:r>
      <w:r>
        <w:rPr>
          <w:rFonts w:cs="宋体" w:asciiTheme="minorEastAsia" w:hAnsiTheme="minorEastAsia" w:eastAsiaTheme="minorEastAsia"/>
        </w:rPr>
        <w:t>更加充分的利用有限的地热资源</w:t>
      </w:r>
      <w:r>
        <w:rPr>
          <w:rFonts w:hint="eastAsia" w:cs="宋体" w:asciiTheme="minorEastAsia" w:hAnsiTheme="minorEastAsia" w:eastAsiaTheme="minorEastAsia"/>
        </w:rPr>
        <w:t>，</w:t>
      </w:r>
      <w:r>
        <w:rPr>
          <w:rFonts w:cs="宋体" w:asciiTheme="minorEastAsia" w:hAnsiTheme="minorEastAsia" w:eastAsiaTheme="minorEastAsia"/>
        </w:rPr>
        <w:t>综合梯级利用势在必行</w:t>
      </w:r>
      <w:r>
        <w:rPr>
          <w:rFonts w:hint="eastAsia" w:cs="宋体" w:asciiTheme="minorEastAsia" w:hAnsiTheme="minorEastAsia" w:eastAsiaTheme="minorEastAsia"/>
        </w:rPr>
        <w:t>。所以在地热开发中，必须打破</w:t>
      </w:r>
      <w:r>
        <w:rPr>
          <w:rFonts w:cs="宋体" w:asciiTheme="minorEastAsia" w:hAnsiTheme="minorEastAsia" w:eastAsiaTheme="minorEastAsia"/>
        </w:rPr>
        <w:t>现在功能</w:t>
      </w:r>
      <w:r>
        <w:rPr>
          <w:rFonts w:hint="eastAsia" w:cs="宋体" w:asciiTheme="minorEastAsia" w:hAnsiTheme="minorEastAsia" w:eastAsiaTheme="minorEastAsia"/>
        </w:rPr>
        <w:t>单一</w:t>
      </w:r>
      <w:r>
        <w:rPr>
          <w:rFonts w:cs="宋体" w:asciiTheme="minorEastAsia" w:hAnsiTheme="minorEastAsia" w:eastAsiaTheme="minorEastAsia"/>
        </w:rPr>
        <w:t>的格局，</w:t>
      </w:r>
      <w:bookmarkStart w:id="66" w:name="OLE_LINK27"/>
      <w:bookmarkStart w:id="67" w:name="OLE_LINK28"/>
      <w:r>
        <w:rPr>
          <w:rFonts w:hint="eastAsia" w:cs="宋体" w:asciiTheme="minorEastAsia" w:hAnsiTheme="minorEastAsia" w:eastAsiaTheme="minorEastAsia"/>
        </w:rPr>
        <w:t>站在地热资源全生命周期的高度去规划地热资源利用方式</w:t>
      </w:r>
      <w:bookmarkEnd w:id="66"/>
      <w:bookmarkEnd w:id="67"/>
      <w:r>
        <w:rPr>
          <w:rFonts w:hint="eastAsia" w:cs="宋体" w:asciiTheme="minorEastAsia" w:hAnsiTheme="minorEastAsia" w:eastAsiaTheme="minorEastAsia"/>
        </w:rPr>
        <w:t>，因地制宜的提出合理的梯级利用计划。典型</w:t>
      </w:r>
      <w:r>
        <w:rPr>
          <w:rFonts w:cs="宋体" w:asciiTheme="minorEastAsia" w:hAnsiTheme="minorEastAsia" w:eastAsiaTheme="minorEastAsia"/>
        </w:rPr>
        <w:t>的地热能梯级利用开发模式如下图所示。</w:t>
      </w:r>
      <w:bookmarkEnd w:id="64"/>
      <w:bookmarkEnd w:id="65"/>
    </w:p>
    <w:p>
      <w:pPr>
        <w:pStyle w:val="129"/>
      </w:pPr>
      <w:bookmarkStart w:id="68" w:name="OLE_LINK29"/>
      <w:bookmarkStart w:id="69" w:name="OLE_LINK37"/>
      <w:bookmarkStart w:id="70" w:name="OLE_LINK34"/>
      <w:r>
        <w:object>
          <v:shape id="_x0000_i1025" o:spt="75" type="#_x0000_t75" style="height:302.25pt;width:352.5pt;" o:ole="t" filled="f" o:preferrelative="t" stroked="f" coordsize="21600,21600">
            <v:path/>
            <v:fill on="f" focussize="0,0"/>
            <v:stroke on="f" joinstyle="miter"/>
            <v:imagedata r:id="rId58" o:title=""/>
            <o:lock v:ext="edit" aspectratio="t"/>
            <w10:wrap type="none"/>
            <w10:anchorlock/>
          </v:shape>
          <o:OLEObject Type="Embed" ProgID="Visio.Drawing.11" ShapeID="_x0000_i1025" DrawAspect="Content" ObjectID="_1468075725" r:id="rId57">
            <o:LockedField>false</o:LockedField>
          </o:OLEObject>
        </w:object>
      </w:r>
      <w:bookmarkEnd w:id="68"/>
      <w:bookmarkEnd w:id="69"/>
      <w:bookmarkEnd w:id="70"/>
    </w:p>
    <w:p>
      <w:pPr>
        <w:pStyle w:val="137"/>
      </w:pPr>
      <w:bookmarkStart w:id="71" w:name="OLE_LINK64"/>
      <w:bookmarkStart w:id="72" w:name="OLE_LINK70"/>
      <w:r>
        <w:rPr>
          <w:rFonts w:hint="eastAsia"/>
        </w:rPr>
        <w:t>以产业开发为基础的地热资源产品全生命周期循环模型图</w:t>
      </w:r>
      <w:bookmarkEnd w:id="71"/>
      <w:bookmarkEnd w:id="72"/>
    </w:p>
    <w:p>
      <w:pPr>
        <w:pStyle w:val="129"/>
      </w:pPr>
      <w:r>
        <w:object>
          <v:shape id="_x0000_i1026" o:spt="75" type="#_x0000_t75" style="height:214.5pt;width:231.75pt;" o:ole="t" filled="f" o:preferrelative="t" stroked="f" coordsize="21600,21600">
            <v:path/>
            <v:fill on="f" focussize="0,0"/>
            <v:stroke on="f" joinstyle="miter"/>
            <v:imagedata r:id="rId60" o:title=""/>
            <o:lock v:ext="edit" aspectratio="t"/>
            <w10:wrap type="none"/>
            <w10:anchorlock/>
          </v:shape>
          <o:OLEObject Type="Embed" ProgID="Visio.Drawing.11" ShapeID="_x0000_i1026" DrawAspect="Content" ObjectID="_1468075726" r:id="rId59">
            <o:LockedField>false</o:LockedField>
          </o:OLEObject>
        </w:object>
      </w:r>
    </w:p>
    <w:p>
      <w:pPr>
        <w:pStyle w:val="137"/>
      </w:pPr>
      <w:r>
        <w:rPr>
          <w:rFonts w:hint="eastAsia"/>
        </w:rPr>
        <w:t>地热能梯级利用开发模式</w:t>
      </w:r>
    </w:p>
    <w:p>
      <w:pPr>
        <w:pStyle w:val="128"/>
      </w:pPr>
      <w:r>
        <w:rPr>
          <w:rFonts w:hint="eastAsia"/>
        </w:rPr>
        <w:t>依托</w:t>
      </w:r>
      <w:r>
        <w:t>渭南地区优质的地热资源，</w:t>
      </w:r>
      <w:bookmarkStart w:id="73" w:name="OLE_LINK72"/>
      <w:bookmarkStart w:id="74" w:name="OLE_LINK73"/>
      <w:r>
        <w:t>理想的</w:t>
      </w:r>
      <w:r>
        <w:rPr>
          <w:rFonts w:hint="eastAsia"/>
        </w:rPr>
        <w:t>综合</w:t>
      </w:r>
      <w:r>
        <w:t>利用方式是在</w:t>
      </w:r>
      <w:r>
        <w:rPr>
          <w:rFonts w:hint="eastAsia"/>
        </w:rPr>
        <w:t>提取</w:t>
      </w:r>
      <w:r>
        <w:t>丰富的</w:t>
      </w:r>
      <w:r>
        <w:rPr>
          <w:rFonts w:hint="eastAsia"/>
        </w:rPr>
        <w:t>地热水</w:t>
      </w:r>
      <w:r>
        <w:t>伴生气的同时，利用</w:t>
      </w:r>
      <w:r>
        <w:rPr>
          <w:rFonts w:hint="eastAsia"/>
        </w:rPr>
        <w:t>中高温</w:t>
      </w:r>
      <w:r>
        <w:t>地热水发电</w:t>
      </w:r>
      <w:r>
        <w:rPr>
          <w:rFonts w:hint="eastAsia"/>
        </w:rPr>
        <w:t>；</w:t>
      </w:r>
      <w:bookmarkEnd w:id="73"/>
      <w:bookmarkEnd w:id="74"/>
      <w:r>
        <w:rPr>
          <w:rFonts w:hint="eastAsia"/>
        </w:rPr>
        <w:t>一级</w:t>
      </w:r>
      <w:r>
        <w:t>尾水通过换热器实现城镇供热</w:t>
      </w:r>
      <w:r>
        <w:rPr>
          <w:rFonts w:hint="eastAsia"/>
        </w:rPr>
        <w:t>（或其他</w:t>
      </w:r>
      <w:r>
        <w:t>工业应用）</w:t>
      </w:r>
      <w:r>
        <w:rPr>
          <w:rFonts w:hint="eastAsia"/>
        </w:rPr>
        <w:t>；</w:t>
      </w:r>
      <w:r>
        <w:t>二级尾水</w:t>
      </w:r>
      <w:r>
        <w:rPr>
          <w:rFonts w:hint="eastAsia"/>
        </w:rPr>
        <w:t>大部分</w:t>
      </w:r>
      <w:r>
        <w:t>通过热泵技术</w:t>
      </w:r>
      <w:r>
        <w:rPr>
          <w:rFonts w:hint="eastAsia"/>
        </w:rPr>
        <w:t>进行余热</w:t>
      </w:r>
      <w:r>
        <w:t>利用，小部分用于休闲洗浴等生活用途</w:t>
      </w:r>
      <w:r>
        <w:rPr>
          <w:rFonts w:hint="eastAsia"/>
        </w:rPr>
        <w:t>；余热</w:t>
      </w:r>
      <w:r>
        <w:t>利用后的地热水尾水</w:t>
      </w:r>
      <w:r>
        <w:rPr>
          <w:rFonts w:hint="eastAsia"/>
        </w:rPr>
        <w:t>在</w:t>
      </w:r>
      <w:r>
        <w:t>有条件的区域可开展设置农业，热带养殖等</w:t>
      </w:r>
      <w:r>
        <w:rPr>
          <w:rFonts w:hint="eastAsia"/>
        </w:rPr>
        <w:t>低温</w:t>
      </w:r>
      <w:r>
        <w:t>农业用途</w:t>
      </w:r>
      <w:r>
        <w:rPr>
          <w:rFonts w:hint="eastAsia"/>
        </w:rPr>
        <w:t>；最终</w:t>
      </w:r>
      <w:r>
        <w:t>地热水</w:t>
      </w:r>
      <w:r>
        <w:rPr>
          <w:rFonts w:hint="eastAsia"/>
        </w:rPr>
        <w:t>被</w:t>
      </w:r>
      <w:r>
        <w:t>利用到</w:t>
      </w:r>
      <w:r>
        <w:rPr>
          <w:rFonts w:hint="eastAsia"/>
        </w:rPr>
        <w:t>25℃</w:t>
      </w:r>
      <w:r>
        <w:t>以下，</w:t>
      </w:r>
      <w:r>
        <w:rPr>
          <w:rFonts w:hint="eastAsia"/>
        </w:rPr>
        <w:t>处理</w:t>
      </w:r>
      <w:r>
        <w:t>达到回灌标准后</w:t>
      </w:r>
      <w:r>
        <w:rPr>
          <w:rFonts w:hint="eastAsia"/>
        </w:rPr>
        <w:t>，</w:t>
      </w:r>
      <w:r>
        <w:t>通过回灌井回灌至</w:t>
      </w:r>
      <w:r>
        <w:rPr>
          <w:rFonts w:hint="eastAsia"/>
        </w:rPr>
        <w:t>同</w:t>
      </w:r>
      <w:r>
        <w:t>一</w:t>
      </w:r>
      <w:r>
        <w:rPr>
          <w:rFonts w:hint="eastAsia"/>
        </w:rPr>
        <w:t>热储层</w:t>
      </w:r>
      <w:r>
        <w:t>，</w:t>
      </w:r>
      <w:r>
        <w:rPr>
          <w:rFonts w:hint="eastAsia"/>
        </w:rPr>
        <w:t>减少</w:t>
      </w:r>
      <w:r>
        <w:t>地热开发对环境的影响，实现可持续发展。</w:t>
      </w:r>
    </w:p>
    <w:p>
      <w:pPr>
        <w:pStyle w:val="128"/>
      </w:pPr>
      <w:r>
        <w:rPr>
          <w:rFonts w:hint="eastAsia"/>
        </w:rPr>
        <w:t>通过地热水梯级</w:t>
      </w:r>
      <w:r>
        <w:t>利用，可</w:t>
      </w:r>
      <w:r>
        <w:rPr>
          <w:rFonts w:hint="eastAsia"/>
        </w:rPr>
        <w:t>有效</w:t>
      </w:r>
      <w:r>
        <w:t>带动伴生气的提取</w:t>
      </w:r>
      <w:r>
        <w:rPr>
          <w:rFonts w:hint="eastAsia"/>
        </w:rPr>
        <w:t>提纯</w:t>
      </w:r>
      <w:r>
        <w:t>、中低温发电、城镇市政供暖、</w:t>
      </w:r>
      <w:r>
        <w:rPr>
          <w:rFonts w:hint="eastAsia"/>
        </w:rPr>
        <w:t>休闲旅游</w:t>
      </w:r>
      <w:r>
        <w:t>、设施农业等相关产业的发展</w:t>
      </w:r>
      <w:r>
        <w:rPr>
          <w:rFonts w:hint="eastAsia"/>
        </w:rPr>
        <w:t>。</w:t>
      </w:r>
      <w:r>
        <w:t>同时</w:t>
      </w:r>
      <w:r>
        <w:rPr>
          <w:rFonts w:hint="eastAsia"/>
        </w:rPr>
        <w:t>带动</w:t>
      </w:r>
      <w:r>
        <w:t>相关关键技术的研发、装备制造</w:t>
      </w:r>
      <w:r>
        <w:rPr>
          <w:rFonts w:hint="eastAsia"/>
        </w:rPr>
        <w:t>以及</w:t>
      </w:r>
      <w:r>
        <w:t>相关服务业的长足进步</w:t>
      </w:r>
      <w:r>
        <w:rPr>
          <w:rFonts w:hint="eastAsia"/>
        </w:rPr>
        <w:t>，</w:t>
      </w:r>
      <w:r>
        <w:t>将原来单一的地热利用方式整合成为一个完整的产业链</w:t>
      </w:r>
      <w:r>
        <w:rPr>
          <w:rFonts w:hint="eastAsia"/>
        </w:rPr>
        <w:t>，为</w:t>
      </w:r>
      <w:r>
        <w:t>社会经济的发展</w:t>
      </w:r>
      <w:r>
        <w:rPr>
          <w:rFonts w:hint="eastAsia"/>
        </w:rPr>
        <w:t>提供有力的</w:t>
      </w:r>
      <w:r>
        <w:t>助推。</w:t>
      </w:r>
    </w:p>
    <w:p>
      <w:pPr>
        <w:pStyle w:val="128"/>
      </w:pPr>
      <w:r>
        <w:rPr>
          <w:rFonts w:hint="eastAsia"/>
        </w:rPr>
        <w:t>（3）探索</w:t>
      </w:r>
      <w:r>
        <w:t>地热旅游与现有旅游资源的结合</w:t>
      </w:r>
    </w:p>
    <w:p>
      <w:pPr>
        <w:pStyle w:val="128"/>
      </w:pPr>
      <w:r>
        <w:rPr>
          <w:rFonts w:hint="eastAsia"/>
        </w:rPr>
        <w:t>渭南市</w:t>
      </w:r>
      <w:r>
        <w:t>现有</w:t>
      </w:r>
      <w:r>
        <w:rPr>
          <w:rFonts w:hint="eastAsia"/>
        </w:rPr>
        <w:t>旅游</w:t>
      </w:r>
      <w:r>
        <w:t>资源丰富，在此基础上探索与地热休闲疗养，绿色生态</w:t>
      </w:r>
      <w:r>
        <w:rPr>
          <w:rFonts w:hint="eastAsia"/>
        </w:rPr>
        <w:t>观光</w:t>
      </w:r>
      <w:r>
        <w:t>农业相结合的旅游产业，带动</w:t>
      </w:r>
      <w:r>
        <w:rPr>
          <w:rFonts w:hint="eastAsia"/>
        </w:rPr>
        <w:t>相关服务业</w:t>
      </w:r>
      <w:r>
        <w:t>的发展，</w:t>
      </w:r>
      <w:r>
        <w:rPr>
          <w:rFonts w:hint="eastAsia"/>
        </w:rPr>
        <w:t>因地制宜</w:t>
      </w:r>
      <w:r>
        <w:t>开发渭南旅游新模式</w:t>
      </w:r>
      <w:r>
        <w:rPr>
          <w:rFonts w:hint="eastAsia"/>
        </w:rPr>
        <w:t>，</w:t>
      </w:r>
      <w:r>
        <w:t>积极将地热产业的影响向</w:t>
      </w:r>
      <w:r>
        <w:rPr>
          <w:rFonts w:hint="eastAsia"/>
        </w:rPr>
        <w:t>第三产业</w:t>
      </w:r>
      <w:r>
        <w:t>延伸</w:t>
      </w:r>
      <w:r>
        <w:rPr>
          <w:rFonts w:hint="eastAsia"/>
        </w:rPr>
        <w:t>。</w:t>
      </w:r>
    </w:p>
    <w:p>
      <w:pPr>
        <w:pStyle w:val="126"/>
      </w:pPr>
      <w:bookmarkStart w:id="75" w:name="OLE_LINK74"/>
      <w:bookmarkStart w:id="76" w:name="OLE_LINK85"/>
      <w:r>
        <w:rPr>
          <w:rFonts w:hint="eastAsia"/>
        </w:rPr>
        <w:t>重点发展</w:t>
      </w:r>
      <w:r>
        <w:t>技术</w:t>
      </w:r>
      <w:bookmarkEnd w:id="75"/>
      <w:bookmarkEnd w:id="76"/>
    </w:p>
    <w:p>
      <w:pPr>
        <w:pStyle w:val="127"/>
      </w:pPr>
      <w:r>
        <w:rPr>
          <w:rFonts w:hint="eastAsia"/>
        </w:rPr>
        <w:t>水溶气提取提纯</w:t>
      </w:r>
    </w:p>
    <w:p>
      <w:pPr>
        <w:pStyle w:val="128"/>
      </w:pPr>
      <w:bookmarkStart w:id="77" w:name="OLE_LINK110"/>
      <w:bookmarkStart w:id="78" w:name="OLE_LINK108"/>
      <w:r>
        <w:rPr>
          <w:rFonts w:hint="eastAsia"/>
        </w:rPr>
        <w:t>氦气</w:t>
      </w:r>
      <w:r>
        <w:t>是国防军工和高科技产业不可</w:t>
      </w:r>
      <w:r>
        <w:rPr>
          <w:rFonts w:hint="eastAsia"/>
        </w:rPr>
        <w:t>或缺</w:t>
      </w:r>
      <w:r>
        <w:t>的稀有气体</w:t>
      </w:r>
      <w:bookmarkStart w:id="79" w:name="OLE_LINK118"/>
      <w:bookmarkStart w:id="80" w:name="OLE_LINK113"/>
      <w:r>
        <w:t>，</w:t>
      </w:r>
      <w:bookmarkEnd w:id="77"/>
      <w:bookmarkEnd w:id="78"/>
      <w:r>
        <w:rPr>
          <w:rFonts w:hint="eastAsia"/>
        </w:rPr>
        <w:t>目前</w:t>
      </w:r>
      <w:r>
        <w:t>主要是从含氦天然气中提取。我国</w:t>
      </w:r>
      <w:r>
        <w:rPr>
          <w:rFonts w:hint="eastAsia"/>
        </w:rPr>
        <w:t>氦气</w:t>
      </w:r>
      <w:r>
        <w:t>资源不仅数量</w:t>
      </w:r>
      <w:r>
        <w:rPr>
          <w:rFonts w:hint="eastAsia"/>
        </w:rPr>
        <w:t>贫乏</w:t>
      </w:r>
      <w:r>
        <w:t>，而且含量低，渭南地区</w:t>
      </w:r>
      <w:r>
        <w:rPr>
          <w:rFonts w:hint="eastAsia"/>
        </w:rPr>
        <w:t>发现</w:t>
      </w:r>
      <w:r>
        <w:t>的地热水伴生天然气中氦气</w:t>
      </w:r>
      <w:r>
        <w:rPr>
          <w:rFonts w:hint="eastAsia"/>
        </w:rPr>
        <w:t>含量</w:t>
      </w:r>
      <w:r>
        <w:t>交大，有很高的开采</w:t>
      </w:r>
      <w:r>
        <w:rPr>
          <w:rFonts w:hint="eastAsia"/>
        </w:rPr>
        <w:t>价值</w:t>
      </w:r>
      <w:r>
        <w:t>。</w:t>
      </w:r>
      <w:bookmarkEnd w:id="79"/>
      <w:bookmarkEnd w:id="80"/>
      <w:r>
        <w:t>但</w:t>
      </w:r>
      <w:r>
        <w:rPr>
          <w:rFonts w:hint="eastAsia"/>
        </w:rPr>
        <w:t>若</w:t>
      </w:r>
      <w:r>
        <w:t>单纯采用深冷法开采氦气成本依然较高</w:t>
      </w:r>
      <w:r>
        <w:rPr>
          <w:rFonts w:hint="eastAsia"/>
        </w:rPr>
        <w:t>，</w:t>
      </w:r>
      <w:r>
        <w:t>随着膜分离技术、联产</w:t>
      </w:r>
      <w:r>
        <w:rPr>
          <w:rFonts w:hint="eastAsia"/>
        </w:rPr>
        <w:t>法</w:t>
      </w:r>
      <w:r>
        <w:t>、联合</w:t>
      </w:r>
      <w:r>
        <w:rPr>
          <w:rFonts w:hint="eastAsia"/>
        </w:rPr>
        <w:t>法</w:t>
      </w:r>
      <w:r>
        <w:t>等提氦新工艺和LNG等相关产业</w:t>
      </w:r>
      <w:r>
        <w:rPr>
          <w:rFonts w:hint="eastAsia"/>
        </w:rPr>
        <w:t>的</w:t>
      </w:r>
      <w:r>
        <w:t>发展，为从天然气中经济的提取氦气提供了新的方法。因此</w:t>
      </w:r>
      <w:r>
        <w:rPr>
          <w:rFonts w:hint="eastAsia"/>
        </w:rPr>
        <w:t>，</w:t>
      </w:r>
      <w:r>
        <w:t>在保护</w:t>
      </w:r>
      <w:r>
        <w:rPr>
          <w:rFonts w:hint="eastAsia"/>
        </w:rPr>
        <w:t>有限</w:t>
      </w:r>
      <w:r>
        <w:t>氦气资源的同时</w:t>
      </w:r>
      <w:r>
        <w:rPr>
          <w:rFonts w:hint="eastAsia"/>
        </w:rPr>
        <w:t>加强</w:t>
      </w:r>
      <w:r>
        <w:t>对提氦技术和氦气资源的开发利用，推进提氦新技术的试验研究和提氦新工艺的推广应用，对于国家用氦安全、促进提氦技术的发展和提高经济效益具有重要意义。</w:t>
      </w:r>
    </w:p>
    <w:p>
      <w:pPr>
        <w:pStyle w:val="127"/>
      </w:pPr>
      <w:r>
        <w:rPr>
          <w:rFonts w:hint="eastAsia"/>
        </w:rPr>
        <w:t>中低温热水</w:t>
      </w:r>
      <w:r>
        <w:t>发电</w:t>
      </w:r>
    </w:p>
    <w:p>
      <w:pPr>
        <w:pStyle w:val="128"/>
      </w:pPr>
      <w:bookmarkStart w:id="81" w:name="OLE_LINK122"/>
      <w:bookmarkStart w:id="82" w:name="OLE_LINK124"/>
      <w:r>
        <w:rPr>
          <w:rFonts w:hint="eastAsia"/>
        </w:rPr>
        <w:t>渭南地区</w:t>
      </w:r>
      <w:r>
        <w:t>地热</w:t>
      </w:r>
      <w:r>
        <w:rPr>
          <w:rFonts w:hint="eastAsia"/>
        </w:rPr>
        <w:t>资源以中低温</w:t>
      </w:r>
      <w:r>
        <w:t>为主</w:t>
      </w:r>
      <w:r>
        <w:rPr>
          <w:rFonts w:hint="eastAsia"/>
        </w:rPr>
        <w:t>，</w:t>
      </w:r>
      <w:bookmarkEnd w:id="81"/>
      <w:bookmarkEnd w:id="82"/>
      <w:r>
        <w:t>依托资源的梯级开发，</w:t>
      </w:r>
      <w:r>
        <w:rPr>
          <w:rFonts w:hint="eastAsia"/>
        </w:rPr>
        <w:t>逐步改进</w:t>
      </w:r>
      <w:r>
        <w:t>完善现有的中低温热水发电技术，进一步提高地热水利用的</w:t>
      </w:r>
      <w:r>
        <w:rPr>
          <w:rFonts w:hint="eastAsia"/>
        </w:rPr>
        <w:t>㶲</w:t>
      </w:r>
      <w:r>
        <w:t>效率</w:t>
      </w:r>
      <w:r>
        <w:rPr>
          <w:rFonts w:hint="eastAsia"/>
        </w:rPr>
        <w:t>。</w:t>
      </w:r>
      <w:r>
        <w:t>同时</w:t>
      </w:r>
      <w:r>
        <w:rPr>
          <w:rFonts w:hint="eastAsia"/>
        </w:rPr>
        <w:t>中低温</w:t>
      </w:r>
      <w:r>
        <w:t>热水发电技术还可广泛应用于工业余热的回收利用，同时带动相关装备</w:t>
      </w:r>
      <w:r>
        <w:rPr>
          <w:rFonts w:hint="eastAsia"/>
        </w:rPr>
        <w:t>制造</w:t>
      </w:r>
      <w:r>
        <w:t>、新材料研发</w:t>
      </w:r>
      <w:r>
        <w:rPr>
          <w:rFonts w:hint="eastAsia"/>
        </w:rPr>
        <w:t>等</w:t>
      </w:r>
      <w:r>
        <w:t>一系列产业的发展</w:t>
      </w:r>
      <w:r>
        <w:rPr>
          <w:rFonts w:hint="eastAsia"/>
        </w:rPr>
        <w:t>。</w:t>
      </w:r>
    </w:p>
    <w:p>
      <w:pPr>
        <w:pStyle w:val="127"/>
      </w:pPr>
      <w:bookmarkStart w:id="83" w:name="OLE_LINK95"/>
      <w:bookmarkStart w:id="84" w:name="OLE_LINK94"/>
      <w:r>
        <w:rPr>
          <w:rFonts w:hint="eastAsia"/>
        </w:rPr>
        <w:t>回灌技术</w:t>
      </w:r>
      <w:bookmarkEnd w:id="83"/>
      <w:bookmarkEnd w:id="84"/>
    </w:p>
    <w:p>
      <w:pPr>
        <w:pStyle w:val="128"/>
      </w:pPr>
      <w:bookmarkStart w:id="85" w:name="OLE_LINK126"/>
      <w:bookmarkStart w:id="86" w:name="OLE_LINK125"/>
      <w:r>
        <w:rPr>
          <w:rFonts w:hint="eastAsia"/>
        </w:rPr>
        <w:t>回灌</w:t>
      </w:r>
      <w:r>
        <w:t>技术是水热型地热</w:t>
      </w:r>
      <w:r>
        <w:rPr>
          <w:rFonts w:hint="eastAsia"/>
        </w:rPr>
        <w:t>资源</w:t>
      </w:r>
      <w:r>
        <w:t>可以</w:t>
      </w:r>
      <w:r>
        <w:rPr>
          <w:rFonts w:hint="eastAsia"/>
        </w:rPr>
        <w:t>持续</w:t>
      </w:r>
      <w:r>
        <w:t>开发利用的保障</w:t>
      </w:r>
      <w:r>
        <w:rPr>
          <w:rFonts w:hint="eastAsia"/>
        </w:rPr>
        <w:t>，也是</w:t>
      </w:r>
      <w:r>
        <w:t>水热型地热资源大规模开发的必要技术前提</w:t>
      </w:r>
      <w:r>
        <w:rPr>
          <w:rFonts w:hint="eastAsia"/>
        </w:rPr>
        <w:t>。</w:t>
      </w:r>
      <w:bookmarkEnd w:id="85"/>
      <w:bookmarkEnd w:id="86"/>
      <w:r>
        <w:t>故</w:t>
      </w:r>
      <w:bookmarkStart w:id="87" w:name="OLE_LINK127"/>
      <w:bookmarkStart w:id="88" w:name="OLE_LINK128"/>
      <w:r>
        <w:rPr>
          <w:rFonts w:hint="eastAsia"/>
        </w:rPr>
        <w:t>应</w:t>
      </w:r>
      <w:r>
        <w:t>加大回灌</w:t>
      </w:r>
      <w:r>
        <w:rPr>
          <w:rFonts w:hint="eastAsia"/>
        </w:rPr>
        <w:t>技术</w:t>
      </w:r>
      <w:r>
        <w:t>的研究力度，确保</w:t>
      </w:r>
      <w:r>
        <w:rPr>
          <w:rFonts w:hint="eastAsia"/>
        </w:rPr>
        <w:t>地热水的</w:t>
      </w:r>
      <w:r>
        <w:t>开发利用可以</w:t>
      </w:r>
      <w:r>
        <w:rPr>
          <w:rFonts w:hint="eastAsia"/>
        </w:rPr>
        <w:t>达到</w:t>
      </w:r>
      <w:r>
        <w:t>经济的</w:t>
      </w:r>
      <w:r>
        <w:rPr>
          <w:rFonts w:hint="eastAsia"/>
        </w:rPr>
        <w:t>100</w:t>
      </w:r>
      <w:r>
        <w:t>%</w:t>
      </w:r>
      <w:r>
        <w:rPr>
          <w:rFonts w:hint="eastAsia"/>
        </w:rPr>
        <w:t>同层</w:t>
      </w:r>
      <w:r>
        <w:t>回灌</w:t>
      </w:r>
      <w:r>
        <w:rPr>
          <w:rFonts w:hint="eastAsia"/>
        </w:rPr>
        <w:t>，</w:t>
      </w:r>
      <w:r>
        <w:t>为地热产业的长久发展提供有力支撑</w:t>
      </w:r>
      <w:r>
        <w:rPr>
          <w:rFonts w:hint="eastAsia"/>
        </w:rPr>
        <w:t>。</w:t>
      </w:r>
      <w:bookmarkEnd w:id="87"/>
      <w:bookmarkEnd w:id="88"/>
    </w:p>
    <w:p>
      <w:pPr>
        <w:pStyle w:val="126"/>
      </w:pPr>
      <w:r>
        <w:rPr>
          <w:rFonts w:hint="eastAsia"/>
        </w:rPr>
        <w:t>存在</w:t>
      </w:r>
      <w:r>
        <w:t>的主要</w:t>
      </w:r>
      <w:r>
        <w:rPr>
          <w:rFonts w:hint="eastAsia"/>
        </w:rPr>
        <w:t>问题</w:t>
      </w:r>
    </w:p>
    <w:p>
      <w:pPr>
        <w:pStyle w:val="127"/>
        <w:rPr>
          <w:color w:val="auto"/>
        </w:rPr>
      </w:pPr>
      <w:r>
        <w:rPr>
          <w:rFonts w:hint="eastAsia"/>
          <w:color w:val="auto"/>
        </w:rPr>
        <w:t>地热资源勘查评价程度较低，不适应开发需求。</w:t>
      </w:r>
    </w:p>
    <w:p>
      <w:pPr>
        <w:pStyle w:val="128"/>
      </w:pPr>
      <w:r>
        <w:rPr>
          <w:rFonts w:hint="eastAsia"/>
        </w:rPr>
        <w:t>目前渭南地区的地热资源尚未</w:t>
      </w:r>
      <w:r>
        <w:t>进行系统</w:t>
      </w:r>
      <w:r>
        <w:rPr>
          <w:rFonts w:hint="eastAsia"/>
        </w:rPr>
        <w:t>地</w:t>
      </w:r>
      <w:r>
        <w:t>详细勘查评价，未能</w:t>
      </w:r>
      <w:r>
        <w:rPr>
          <w:rFonts w:hint="eastAsia"/>
        </w:rPr>
        <w:t>按照</w:t>
      </w:r>
      <w:r>
        <w:t>资源分布</w:t>
      </w:r>
      <w:r>
        <w:rPr>
          <w:rFonts w:hint="eastAsia"/>
        </w:rPr>
        <w:t>系统</w:t>
      </w:r>
      <w:r>
        <w:t>性的划定开发区域</w:t>
      </w:r>
      <w:r>
        <w:rPr>
          <w:rFonts w:hint="eastAsia"/>
        </w:rPr>
        <w:t>、</w:t>
      </w:r>
      <w:r>
        <w:t>制定开发计划，在一定</w:t>
      </w:r>
      <w:r>
        <w:rPr>
          <w:rFonts w:hint="eastAsia"/>
        </w:rPr>
        <w:t>制约了</w:t>
      </w:r>
      <w:r>
        <w:t>地热资源的开发利用。</w:t>
      </w:r>
    </w:p>
    <w:p>
      <w:pPr>
        <w:pStyle w:val="127"/>
        <w:rPr>
          <w:color w:val="auto"/>
        </w:rPr>
      </w:pPr>
      <w:r>
        <w:rPr>
          <w:rFonts w:hint="eastAsia"/>
          <w:color w:val="auto"/>
        </w:rPr>
        <w:t>开发利用</w:t>
      </w:r>
      <w:r>
        <w:rPr>
          <w:color w:val="auto"/>
        </w:rPr>
        <w:t>方式单一，</w:t>
      </w:r>
      <w:r>
        <w:rPr>
          <w:rFonts w:hint="eastAsia"/>
          <w:color w:val="auto"/>
        </w:rPr>
        <w:t>尾水</w:t>
      </w:r>
      <w:r>
        <w:rPr>
          <w:color w:val="auto"/>
        </w:rPr>
        <w:t>回灌无法保证。</w:t>
      </w:r>
    </w:p>
    <w:p>
      <w:pPr>
        <w:pStyle w:val="128"/>
      </w:pPr>
      <w:r>
        <w:rPr>
          <w:rFonts w:hint="eastAsia"/>
        </w:rPr>
        <w:t>目前</w:t>
      </w:r>
      <w:r>
        <w:t>地热水的利用主要以休闲疗养</w:t>
      </w:r>
      <w:r>
        <w:rPr>
          <w:rFonts w:hint="eastAsia"/>
        </w:rPr>
        <w:t>等</w:t>
      </w:r>
      <w:r>
        <w:t>直接利用</w:t>
      </w:r>
      <w:r>
        <w:rPr>
          <w:rFonts w:hint="eastAsia"/>
        </w:rPr>
        <w:t>及建筑</w:t>
      </w:r>
      <w:r>
        <w:t>供热利用为主，</w:t>
      </w:r>
      <w:r>
        <w:rPr>
          <w:rFonts w:hint="eastAsia"/>
        </w:rPr>
        <w:t>利用</w:t>
      </w:r>
      <w:r>
        <w:t>方式单一</w:t>
      </w:r>
      <w:r>
        <w:rPr>
          <w:rFonts w:hint="eastAsia"/>
        </w:rPr>
        <w:t>，</w:t>
      </w:r>
      <w:r>
        <w:t>未能较好的控制尾水温度，造成一定程度的浪费</w:t>
      </w:r>
      <w:r>
        <w:rPr>
          <w:rFonts w:hint="eastAsia"/>
        </w:rPr>
        <w:t>。由于技术、经济</w:t>
      </w:r>
      <w:r>
        <w:t>等原因，</w:t>
      </w:r>
      <w:r>
        <w:rPr>
          <w:rFonts w:hint="eastAsia"/>
        </w:rPr>
        <w:t>地热</w:t>
      </w:r>
      <w:r>
        <w:t>尾水的回灌工作不能很好落实，造成部分地热井水位下降严重，资源面临枯竭等一系列</w:t>
      </w:r>
      <w:r>
        <w:rPr>
          <w:rFonts w:hint="eastAsia"/>
        </w:rPr>
        <w:t>问题</w:t>
      </w:r>
      <w:r>
        <w:t>。</w:t>
      </w:r>
    </w:p>
    <w:p>
      <w:pPr>
        <w:pStyle w:val="127"/>
        <w:rPr>
          <w:color w:val="auto"/>
        </w:rPr>
      </w:pPr>
      <w:r>
        <w:rPr>
          <w:rFonts w:hint="eastAsia"/>
          <w:color w:val="auto"/>
        </w:rPr>
        <w:t>政府</w:t>
      </w:r>
      <w:r>
        <w:rPr>
          <w:color w:val="auto"/>
        </w:rPr>
        <w:t>管理职能交叉，</w:t>
      </w:r>
      <w:r>
        <w:rPr>
          <w:rFonts w:hint="eastAsia"/>
          <w:color w:val="auto"/>
        </w:rPr>
        <w:t>影响地热</w:t>
      </w:r>
      <w:r>
        <w:rPr>
          <w:color w:val="auto"/>
        </w:rPr>
        <w:t>开发进程。</w:t>
      </w:r>
    </w:p>
    <w:p>
      <w:pPr>
        <w:pStyle w:val="128"/>
      </w:pPr>
      <w:r>
        <w:rPr>
          <w:rFonts w:hint="eastAsia"/>
        </w:rPr>
        <w:t>地热能</w:t>
      </w:r>
      <w:r>
        <w:t>开发利用过程中涉及国土资源、</w:t>
      </w:r>
      <w:r>
        <w:rPr>
          <w:rFonts w:hint="eastAsia"/>
        </w:rPr>
        <w:t>水利</w:t>
      </w:r>
      <w:r>
        <w:t>（</w:t>
      </w:r>
      <w:r>
        <w:rPr>
          <w:rFonts w:hint="eastAsia"/>
        </w:rPr>
        <w:t>水务</w:t>
      </w:r>
      <w:r>
        <w:t>）</w:t>
      </w:r>
      <w:r>
        <w:rPr>
          <w:rFonts w:hint="eastAsia"/>
        </w:rPr>
        <w:t>、</w:t>
      </w:r>
      <w:r>
        <w:t>城市建设等管理部门，其中有部分</w:t>
      </w:r>
      <w:r>
        <w:rPr>
          <w:rFonts w:hint="eastAsia"/>
        </w:rPr>
        <w:t>管理</w:t>
      </w:r>
      <w:r>
        <w:t>职能交叉</w:t>
      </w:r>
      <w:r>
        <w:rPr>
          <w:rFonts w:hint="eastAsia"/>
        </w:rPr>
        <w:t>，</w:t>
      </w:r>
      <w:r>
        <w:t>缺乏统筹安排</w:t>
      </w:r>
      <w:r>
        <w:rPr>
          <w:rFonts w:hint="eastAsia"/>
        </w:rPr>
        <w:t>。</w:t>
      </w:r>
    </w:p>
    <w:p>
      <w:pPr>
        <w:pStyle w:val="127"/>
        <w:rPr>
          <w:color w:val="auto"/>
        </w:rPr>
      </w:pPr>
      <w:r>
        <w:rPr>
          <w:rFonts w:hint="eastAsia"/>
          <w:color w:val="auto"/>
        </w:rPr>
        <w:t>缺乏相关政策</w:t>
      </w:r>
      <w:r>
        <w:rPr>
          <w:color w:val="auto"/>
        </w:rPr>
        <w:t>、资金支持</w:t>
      </w:r>
      <w:r>
        <w:rPr>
          <w:rFonts w:hint="eastAsia"/>
          <w:color w:val="auto"/>
        </w:rPr>
        <w:t>。</w:t>
      </w:r>
    </w:p>
    <w:p>
      <w:pPr>
        <w:pStyle w:val="128"/>
      </w:pPr>
      <w:r>
        <w:rPr>
          <w:rFonts w:hint="eastAsia"/>
        </w:rPr>
        <w:t>地热</w:t>
      </w:r>
      <w:r>
        <w:t>资源的可持续开发利用需要大量的资金投入，实现</w:t>
      </w:r>
      <w:r>
        <w:rPr>
          <w:rFonts w:hint="eastAsia"/>
        </w:rPr>
        <w:t>地热</w:t>
      </w:r>
      <w:r>
        <w:t>能行业的规模化和产业化，不仅要有政府的政策扶植，还需要扩展融资渠道，建立市场准入机制。</w:t>
      </w:r>
      <w:r>
        <w:rPr>
          <w:rFonts w:hint="eastAsia"/>
        </w:rPr>
        <w:t>渭南市处于</w:t>
      </w:r>
      <w:r>
        <w:t>我国西部地区，大多数地热开发单位自身资金实力不足，缺乏政策上的支持引导，没有建立健全的地热矿业权市场，金融机构的资金支持较少，导致开发单位的融资渠道</w:t>
      </w:r>
      <w:r>
        <w:rPr>
          <w:rFonts w:hint="eastAsia"/>
        </w:rPr>
        <w:t>狭窄</w:t>
      </w:r>
      <w:r>
        <w:t>，吸纳社会资金的能力有限</w:t>
      </w:r>
      <w:r>
        <w:rPr>
          <w:rFonts w:hint="eastAsia"/>
        </w:rPr>
        <w:t>，</w:t>
      </w:r>
      <w:r>
        <w:t>有些单位为了尽快回收</w:t>
      </w:r>
      <w:r>
        <w:rPr>
          <w:rFonts w:hint="eastAsia"/>
        </w:rPr>
        <w:t>投资</w:t>
      </w:r>
      <w:r>
        <w:t>，只注重</w:t>
      </w:r>
      <w:r>
        <w:rPr>
          <w:rFonts w:hint="eastAsia"/>
        </w:rPr>
        <w:t>眼前</w:t>
      </w:r>
      <w:r>
        <w:t>利益，不</w:t>
      </w:r>
      <w:r>
        <w:rPr>
          <w:rFonts w:hint="eastAsia"/>
          <w:lang w:eastAsia="zh-CN"/>
        </w:rPr>
        <w:t>顾长</w:t>
      </w:r>
      <w:r>
        <w:t>远进行设备投资，超采</w:t>
      </w:r>
      <w:r>
        <w:rPr>
          <w:rFonts w:hint="eastAsia"/>
        </w:rPr>
        <w:t>、过度</w:t>
      </w:r>
      <w:r>
        <w:t>开采、只采</w:t>
      </w:r>
      <w:r>
        <w:rPr>
          <w:rFonts w:hint="eastAsia"/>
        </w:rPr>
        <w:t>不</w:t>
      </w:r>
      <w:r>
        <w:t>灌等现象严重，不利于地热资源的可持续开发利用。</w:t>
      </w:r>
    </w:p>
    <w:p>
      <w:pPr>
        <w:pStyle w:val="126"/>
      </w:pPr>
      <w:r>
        <w:rPr>
          <w:rFonts w:hint="eastAsia"/>
        </w:rPr>
        <w:t>渭南</w:t>
      </w:r>
      <w:r>
        <w:t>地热</w:t>
      </w:r>
      <w:r>
        <w:rPr>
          <w:rFonts w:hint="eastAsia"/>
          <w:lang w:eastAsia="zh-CN"/>
        </w:rPr>
        <w:t>能开发</w:t>
      </w:r>
      <w:r>
        <w:t>的建议</w:t>
      </w:r>
    </w:p>
    <w:p>
      <w:pPr>
        <w:pStyle w:val="127"/>
        <w:rPr>
          <w:color w:val="auto"/>
        </w:rPr>
      </w:pPr>
      <w:r>
        <w:rPr>
          <w:rFonts w:hint="eastAsia"/>
          <w:color w:val="auto"/>
        </w:rPr>
        <w:t>加快</w:t>
      </w:r>
      <w:r>
        <w:rPr>
          <w:color w:val="auto"/>
        </w:rPr>
        <w:t>勘查</w:t>
      </w:r>
      <w:r>
        <w:rPr>
          <w:rFonts w:hint="eastAsia"/>
          <w:color w:val="auto"/>
        </w:rPr>
        <w:t>及</w:t>
      </w:r>
      <w:r>
        <w:rPr>
          <w:color w:val="auto"/>
        </w:rPr>
        <w:t>规划工作</w:t>
      </w:r>
    </w:p>
    <w:p>
      <w:pPr>
        <w:pStyle w:val="128"/>
      </w:pPr>
      <w:r>
        <w:rPr>
          <w:rFonts w:hint="eastAsia"/>
        </w:rPr>
        <w:t>委托</w:t>
      </w:r>
      <w:r>
        <w:t>有资质的企业进行渭南地区</w:t>
      </w:r>
      <w:r>
        <w:rPr>
          <w:rFonts w:hint="eastAsia"/>
        </w:rPr>
        <w:t>地热能</w:t>
      </w:r>
      <w:r>
        <w:t>资源详细的勘查评价</w:t>
      </w:r>
      <w:r>
        <w:rPr>
          <w:rFonts w:hint="eastAsia"/>
        </w:rPr>
        <w:t>，在此基础上</w:t>
      </w:r>
      <w:r>
        <w:t>制定详细的地热能开发利用专项规划，</w:t>
      </w:r>
      <w:r>
        <w:rPr>
          <w:rFonts w:hint="eastAsia"/>
        </w:rPr>
        <w:t>根据</w:t>
      </w:r>
      <w:r>
        <w:t>资源分布、城乡发展规划、</w:t>
      </w:r>
      <w:r>
        <w:rPr>
          <w:rFonts w:hint="eastAsia"/>
        </w:rPr>
        <w:t>产业</w:t>
      </w:r>
      <w:r>
        <w:t>发展规划等一系列相关规划，</w:t>
      </w:r>
      <w:r>
        <w:rPr>
          <w:rFonts w:hint="eastAsia"/>
        </w:rPr>
        <w:t>因地制宜</w:t>
      </w:r>
      <w:r>
        <w:t>的制定地热能开发利用的开发时序和利用方法</w:t>
      </w:r>
      <w:r>
        <w:rPr>
          <w:rFonts w:hint="eastAsia"/>
        </w:rPr>
        <w:t>。明确资源</w:t>
      </w:r>
      <w:r>
        <w:t>开采区范围，严格限制开采量</w:t>
      </w:r>
      <w:r>
        <w:rPr>
          <w:rFonts w:hint="eastAsia"/>
        </w:rPr>
        <w:t>及</w:t>
      </w:r>
      <w:r>
        <w:t>回灌率</w:t>
      </w:r>
      <w:r>
        <w:rPr>
          <w:rFonts w:hint="eastAsia"/>
        </w:rPr>
        <w:t>。</w:t>
      </w:r>
      <w:r>
        <w:t>为</w:t>
      </w:r>
      <w:r>
        <w:rPr>
          <w:rFonts w:hint="eastAsia"/>
        </w:rPr>
        <w:t>渭南市</w:t>
      </w:r>
      <w:r>
        <w:t>地热能开发提供一个切实可行的行动路线。</w:t>
      </w:r>
    </w:p>
    <w:p>
      <w:pPr>
        <w:pStyle w:val="127"/>
        <w:rPr>
          <w:color w:val="auto"/>
        </w:rPr>
      </w:pPr>
      <w:r>
        <w:rPr>
          <w:rFonts w:hint="eastAsia"/>
          <w:color w:val="auto"/>
        </w:rPr>
        <w:t>完善</w:t>
      </w:r>
      <w:r>
        <w:rPr>
          <w:color w:val="auto"/>
        </w:rPr>
        <w:t>地热能开发监测</w:t>
      </w:r>
      <w:r>
        <w:rPr>
          <w:rFonts w:hint="eastAsia"/>
          <w:color w:val="auto"/>
        </w:rPr>
        <w:t>体系</w:t>
      </w:r>
    </w:p>
    <w:p>
      <w:pPr>
        <w:pStyle w:val="128"/>
      </w:pPr>
      <w:r>
        <w:rPr>
          <w:rFonts w:hint="eastAsia"/>
        </w:rPr>
        <w:t>对</w:t>
      </w:r>
      <w:r>
        <w:t>现有的开发企业及新建项目应</w:t>
      </w:r>
      <w:r>
        <w:rPr>
          <w:rFonts w:hint="eastAsia"/>
        </w:rPr>
        <w:t>完善</w:t>
      </w:r>
      <w:r>
        <w:t>监测</w:t>
      </w:r>
      <w:r>
        <w:rPr>
          <w:rFonts w:hint="eastAsia"/>
        </w:rPr>
        <w:t>体系</w:t>
      </w:r>
      <w:r>
        <w:t>，</w:t>
      </w:r>
      <w:r>
        <w:rPr>
          <w:rFonts w:hint="eastAsia"/>
        </w:rPr>
        <w:t>实时</w:t>
      </w:r>
      <w:r>
        <w:t>监测</w:t>
      </w:r>
      <w:r>
        <w:rPr>
          <w:rFonts w:hint="eastAsia"/>
        </w:rPr>
        <w:t>抽水井</w:t>
      </w:r>
      <w:r>
        <w:t>水位、流量</w:t>
      </w:r>
      <w:r>
        <w:rPr>
          <w:rFonts w:hint="eastAsia"/>
        </w:rPr>
        <w:t>、水温，</w:t>
      </w:r>
      <w:r>
        <w:t>地热尾水流量、水温</w:t>
      </w:r>
      <w:r>
        <w:rPr>
          <w:rFonts w:hint="eastAsia"/>
        </w:rPr>
        <w:t>及回灌</w:t>
      </w:r>
      <w:r>
        <w:t>井流量等相关参数，从根本上杜绝尾水温度高</w:t>
      </w:r>
      <w:r>
        <w:rPr>
          <w:rFonts w:hint="eastAsia"/>
        </w:rPr>
        <w:t>、</w:t>
      </w:r>
      <w:r>
        <w:t>只采不灌等现象的发生。</w:t>
      </w:r>
    </w:p>
    <w:p>
      <w:pPr>
        <w:pStyle w:val="127"/>
        <w:rPr>
          <w:color w:val="auto"/>
        </w:rPr>
      </w:pPr>
      <w:r>
        <w:rPr>
          <w:rFonts w:hint="eastAsia"/>
          <w:color w:val="auto"/>
        </w:rPr>
        <w:t>理顺管理</w:t>
      </w:r>
      <w:r>
        <w:rPr>
          <w:color w:val="auto"/>
        </w:rPr>
        <w:t>制度</w:t>
      </w:r>
    </w:p>
    <w:p>
      <w:pPr>
        <w:pStyle w:val="128"/>
      </w:pPr>
      <w:r>
        <w:rPr>
          <w:rFonts w:hint="eastAsia"/>
        </w:rPr>
        <w:t>明确</w:t>
      </w:r>
      <w:r>
        <w:t>各行政部门的管理权限</w:t>
      </w:r>
      <w:r>
        <w:rPr>
          <w:rFonts w:hint="eastAsia"/>
        </w:rPr>
        <w:t>和</w:t>
      </w:r>
      <w:r>
        <w:t>职责，如有必要可成立地热开发办公室等</w:t>
      </w:r>
      <w:r>
        <w:rPr>
          <w:rFonts w:hint="eastAsia"/>
        </w:rPr>
        <w:t>专项</w:t>
      </w:r>
      <w:r>
        <w:t>管理机构，或</w:t>
      </w:r>
      <w:r>
        <w:rPr>
          <w:rFonts w:hint="eastAsia"/>
        </w:rPr>
        <w:t>由政府</w:t>
      </w:r>
      <w:r>
        <w:t>制定牵头</w:t>
      </w:r>
      <w:r>
        <w:rPr>
          <w:rFonts w:hint="eastAsia"/>
        </w:rPr>
        <w:t>单位</w:t>
      </w:r>
      <w:r>
        <w:t>统筹协调地热开发</w:t>
      </w:r>
      <w:r>
        <w:rPr>
          <w:rFonts w:hint="eastAsia"/>
        </w:rPr>
        <w:t>过程中</w:t>
      </w:r>
      <w:r>
        <w:t>的</w:t>
      </w:r>
      <w:r>
        <w:rPr>
          <w:rFonts w:hint="eastAsia"/>
        </w:rPr>
        <w:t>一系列</w:t>
      </w:r>
      <w:r>
        <w:t>管理问题，</w:t>
      </w:r>
      <w:r>
        <w:rPr>
          <w:rFonts w:hint="eastAsia"/>
        </w:rPr>
        <w:t>提高政策</w:t>
      </w:r>
      <w:r>
        <w:t>的执行效率，方便相关企业的</w:t>
      </w:r>
      <w:r>
        <w:rPr>
          <w:rFonts w:hint="eastAsia"/>
        </w:rPr>
        <w:t>开发</w:t>
      </w:r>
      <w:r>
        <w:t>经营。</w:t>
      </w:r>
    </w:p>
    <w:p>
      <w:pPr>
        <w:pStyle w:val="127"/>
        <w:rPr>
          <w:color w:val="auto"/>
        </w:rPr>
      </w:pPr>
      <w:r>
        <w:rPr>
          <w:rFonts w:hint="eastAsia"/>
          <w:color w:val="auto"/>
        </w:rPr>
        <w:t>加大</w:t>
      </w:r>
      <w:r>
        <w:rPr>
          <w:color w:val="auto"/>
        </w:rPr>
        <w:t>研发投入，</w:t>
      </w:r>
      <w:r>
        <w:rPr>
          <w:rFonts w:hint="eastAsia"/>
          <w:color w:val="auto"/>
        </w:rPr>
        <w:t>出台优惠政策</w:t>
      </w:r>
    </w:p>
    <w:p>
      <w:pPr>
        <w:pStyle w:val="128"/>
      </w:pPr>
      <w:r>
        <w:rPr>
          <w:rFonts w:hint="eastAsia"/>
        </w:rPr>
        <w:t>技术滞后</w:t>
      </w:r>
      <w:r>
        <w:t>和资金短缺是地热资源开发利用的一大障碍，地热资源产业又有其</w:t>
      </w:r>
      <w:r>
        <w:rPr>
          <w:rFonts w:hint="eastAsia"/>
        </w:rPr>
        <w:t>特殊性</w:t>
      </w:r>
      <w:r>
        <w:t>，投资</w:t>
      </w:r>
      <w:r>
        <w:rPr>
          <w:rFonts w:hint="eastAsia"/>
        </w:rPr>
        <w:t>大</w:t>
      </w:r>
      <w:r>
        <w:t>，周期长，回报慢</w:t>
      </w:r>
      <w:r>
        <w:rPr>
          <w:rFonts w:hint="eastAsia"/>
        </w:rPr>
        <w:t>。</w:t>
      </w:r>
      <w:r>
        <w:t>因此</w:t>
      </w:r>
      <w:r>
        <w:rPr>
          <w:rFonts w:hint="eastAsia"/>
        </w:rPr>
        <w:t>，</w:t>
      </w:r>
      <w:r>
        <w:t>在发展起步阶段需要依靠政府的资金支持</w:t>
      </w:r>
      <w:r>
        <w:rPr>
          <w:rFonts w:hint="eastAsia"/>
        </w:rPr>
        <w:t>和</w:t>
      </w:r>
      <w:r>
        <w:t>提供相应的政策优惠。</w:t>
      </w:r>
      <w:r>
        <w:rPr>
          <w:rFonts w:hint="eastAsia"/>
        </w:rPr>
        <w:t>同时应</w:t>
      </w:r>
      <w:r>
        <w:t>加大政府的研发投入，对关键技术进行科技</w:t>
      </w:r>
      <w:r>
        <w:rPr>
          <w:rFonts w:hint="eastAsia"/>
        </w:rPr>
        <w:t>攻关</w:t>
      </w:r>
      <w:r>
        <w:t>，</w:t>
      </w:r>
      <w:r>
        <w:rPr>
          <w:rFonts w:hint="eastAsia"/>
        </w:rPr>
        <w:t>进一步</w:t>
      </w:r>
      <w:r>
        <w:t>提高地热能利用系统自身的经济性。</w:t>
      </w:r>
    </w:p>
    <w:p>
      <w:pPr>
        <w:pStyle w:val="125"/>
      </w:pPr>
      <w:bookmarkStart w:id="89" w:name="_Toc28131"/>
      <w:r>
        <w:rPr>
          <w:rFonts w:hint="eastAsia"/>
        </w:rPr>
        <w:t>生物质</w:t>
      </w:r>
      <w:r>
        <w:t>能综合利用</w:t>
      </w:r>
      <w:bookmarkEnd w:id="89"/>
    </w:p>
    <w:p>
      <w:pPr>
        <w:pStyle w:val="126"/>
      </w:pPr>
      <w:r>
        <w:rPr>
          <w:rFonts w:hint="eastAsia"/>
        </w:rPr>
        <w:t>生物质综合</w:t>
      </w:r>
      <w:r>
        <w:t>应用方向</w:t>
      </w:r>
    </w:p>
    <w:p>
      <w:pPr>
        <w:pStyle w:val="128"/>
      </w:pPr>
      <w:r>
        <w:rPr>
          <w:rFonts w:hint="eastAsia"/>
        </w:rPr>
        <w:t>自2006年以来，随着《可再生能源法》的颁布，我国陆续出台了促进可再生能源发展的电价、税收、补贴以及费用分摊等优惠政策。在各项政策支持下，我国生物质能多元化利用取得较大进展，生物质发电、液体燃料、燃气、成型燃料等多种利用方式并举，技术不断进步，呈现出规模化发展的良好势头。</w:t>
      </w:r>
    </w:p>
    <w:p>
      <w:pPr>
        <w:pStyle w:val="128"/>
      </w:pPr>
      <w:r>
        <w:rPr>
          <w:rFonts w:hint="eastAsia"/>
        </w:rPr>
        <w:t>生物质利用主要方向为</w:t>
      </w:r>
      <w:bookmarkStart w:id="90" w:name="OLE_LINK129"/>
      <w:bookmarkStart w:id="91" w:name="OLE_LINK130"/>
      <w:r>
        <w:rPr>
          <w:rFonts w:hint="eastAsia"/>
        </w:rPr>
        <w:t>生物质发电、生物质成型燃料、生物质燃气、生物质液体燃料</w:t>
      </w:r>
      <w:bookmarkEnd w:id="90"/>
      <w:bookmarkEnd w:id="91"/>
      <w:r>
        <w:rPr>
          <w:rFonts w:hint="eastAsia"/>
        </w:rPr>
        <w:t>等。</w:t>
      </w:r>
    </w:p>
    <w:p>
      <w:pPr>
        <w:pStyle w:val="128"/>
      </w:pPr>
      <w:r>
        <w:rPr>
          <w:rFonts w:hint="eastAsia"/>
        </w:rPr>
        <w:t>（1）生物质发电</w:t>
      </w:r>
    </w:p>
    <w:p>
      <w:pPr>
        <w:pStyle w:val="128"/>
      </w:pPr>
      <w:r>
        <w:rPr>
          <w:rFonts w:hint="eastAsia"/>
        </w:rPr>
        <w:t>生物质发电有直燃发电与气化发电两种。直燃发电技术是指全部采用生物质原料，在专用生物质锅炉中燃烧，产生蒸汽，供应热量，同时驱动蒸汽轮机，带动发电机发电。直接燃烧发电是农林生物质发电中应用最广的方式，装机容量从不到1MW到几百MW，发电效率通常在20%～30%之间，近年来已有技术能够使发电效率达到40%。</w:t>
      </w:r>
    </w:p>
    <w:p>
      <w:pPr>
        <w:pStyle w:val="128"/>
      </w:pPr>
      <w:r>
        <w:rPr>
          <w:rFonts w:hint="eastAsia"/>
        </w:rPr>
        <w:t>气化发电是指生物质原料气化后生成可燃气体，净化后燃烧，驱动内燃机或燃气轮机，带动发电机发电。目前，生物质气化的方式主要有循环流化床气化和固定床气化两种。气化发电项目的规模一般可控制在1万千瓦以下。</w:t>
      </w:r>
    </w:p>
    <w:p>
      <w:pPr>
        <w:pStyle w:val="128"/>
      </w:pPr>
      <w:r>
        <w:rPr>
          <w:rFonts w:hint="eastAsia"/>
        </w:rPr>
        <w:t>（2）秸秆成型燃料</w:t>
      </w:r>
    </w:p>
    <w:p>
      <w:pPr>
        <w:pStyle w:val="128"/>
      </w:pPr>
      <w:r>
        <w:rPr>
          <w:rFonts w:hint="eastAsia"/>
        </w:rPr>
        <w:t>秸秆成型燃料技术是利用机械力对农作物秸秆进行压缩，使原料的容重大大增加，并可使不同种类原料获得较为统一的燃烧特性。目前生物质压缩成型技术已经不存在不可逾越的技术障碍，但是在项目建设的规范化方面尚需要认真对待。</w:t>
      </w:r>
    </w:p>
    <w:p>
      <w:pPr>
        <w:pStyle w:val="128"/>
      </w:pPr>
      <w:r>
        <w:rPr>
          <w:rFonts w:hint="eastAsia"/>
        </w:rPr>
        <w:t>（</w:t>
      </w:r>
      <w:r>
        <w:t>3</w:t>
      </w:r>
      <w:r>
        <w:rPr>
          <w:rFonts w:hint="eastAsia"/>
        </w:rPr>
        <w:t>）生物质燃气</w:t>
      </w:r>
    </w:p>
    <w:p>
      <w:pPr>
        <w:pStyle w:val="128"/>
      </w:pPr>
      <w:r>
        <w:rPr>
          <w:rFonts w:hint="eastAsia"/>
        </w:rPr>
        <w:t>生物质燃气是以农作物秸秆、畜禽粪便等为原料，以空气、水蒸气等为气化介质，在特定条件下通过化学反应、生物化学反应将秸秆转化为可燃气体，主要可燃成分是CH</w:t>
      </w:r>
      <w:r>
        <w:rPr>
          <w:rFonts w:hint="eastAsia"/>
          <w:vertAlign w:val="subscript"/>
        </w:rPr>
        <w:t>4</w:t>
      </w:r>
      <w:r>
        <w:rPr>
          <w:rFonts w:hint="eastAsia"/>
        </w:rPr>
        <w:t>、CO、H</w:t>
      </w:r>
      <w:r>
        <w:rPr>
          <w:rFonts w:hint="eastAsia"/>
          <w:vertAlign w:val="subscript"/>
        </w:rPr>
        <w:t>2</w:t>
      </w:r>
      <w:r>
        <w:rPr>
          <w:rFonts w:hint="eastAsia"/>
        </w:rPr>
        <w:t>等。生物质燃气利用技术主要包括集中供气、供热以及用作车用燃料。</w:t>
      </w:r>
    </w:p>
    <w:p>
      <w:pPr>
        <w:pStyle w:val="128"/>
      </w:pPr>
      <w:r>
        <w:rPr>
          <w:rFonts w:hint="eastAsia"/>
        </w:rPr>
        <w:t>（</w:t>
      </w:r>
      <w:r>
        <w:t>4</w:t>
      </w:r>
      <w:r>
        <w:rPr>
          <w:rFonts w:hint="eastAsia"/>
        </w:rPr>
        <w:t>）生物质液体燃料</w:t>
      </w:r>
    </w:p>
    <w:p>
      <w:pPr>
        <w:pStyle w:val="128"/>
      </w:pPr>
      <w:r>
        <w:rPr>
          <w:rFonts w:hint="eastAsia"/>
        </w:rPr>
        <w:t>生物质液体燃料主要采用热裂解技术，生物质热裂解是指生物质在完全没有氧或缺氧条件下热降解，最终生成生物油、木炭和可燃气体的过程。三种产物的比例取决于热裂解工艺和反应条件。一般地说，低温慢速热裂解，产物以木炭为主；高温闪速热裂解，产物以可燃气体为主；中温快速热裂解，产物以生物油为主。国内对于生物质热解油的研究还主要集中在热解反应器的研制和放大阶段，生物油精制改性的报道目前相对较少。</w:t>
      </w:r>
    </w:p>
    <w:p>
      <w:pPr>
        <w:pStyle w:val="128"/>
      </w:pPr>
      <w:r>
        <w:rPr>
          <w:rFonts w:hint="eastAsia"/>
        </w:rPr>
        <w:t>截止2015年底，我国生物质发电总装机容量约1000万千瓦，生物质成型燃料利用量约480万吨，截止2014年底，全国沼气总产量192亿m</w:t>
      </w:r>
      <w:r>
        <w:rPr>
          <w:rFonts w:hint="eastAsia"/>
          <w:vertAlign w:val="superscript"/>
        </w:rPr>
        <w:t>3</w:t>
      </w:r>
      <w:r>
        <w:rPr>
          <w:rFonts w:hint="eastAsia"/>
        </w:rPr>
        <w:t>，户用沼气160亿m</w:t>
      </w:r>
      <w:r>
        <w:rPr>
          <w:rFonts w:hint="eastAsia"/>
          <w:vertAlign w:val="superscript"/>
        </w:rPr>
        <w:t>3</w:t>
      </w:r>
      <w:r>
        <w:rPr>
          <w:rFonts w:hint="eastAsia"/>
        </w:rPr>
        <w:t>，规模化沼气工程8.05万处，年产气量30亿m</w:t>
      </w:r>
      <w:r>
        <w:rPr>
          <w:rFonts w:hint="eastAsia"/>
          <w:vertAlign w:val="superscript"/>
        </w:rPr>
        <w:t>3</w:t>
      </w:r>
      <w:r>
        <w:rPr>
          <w:rFonts w:hint="eastAsia"/>
        </w:rPr>
        <w:t>，生物天然气产量约2亿m</w:t>
      </w:r>
      <w:r>
        <w:rPr>
          <w:rFonts w:hint="eastAsia"/>
          <w:vertAlign w:val="superscript"/>
        </w:rPr>
        <w:t>3</w:t>
      </w:r>
      <w:r>
        <w:rPr>
          <w:rFonts w:hint="eastAsia"/>
        </w:rPr>
        <w:t>；生物燃料乙醇产量230万吨，生物柴油年产量90万吨。截至2015年底，我国各类生物质能利用规模共约3300万吨标准煤，约占全国能源消费总量0.88%。</w:t>
      </w:r>
    </w:p>
    <w:p>
      <w:pPr>
        <w:pStyle w:val="126"/>
      </w:pPr>
      <w:r>
        <w:rPr>
          <w:rFonts w:hint="eastAsia"/>
        </w:rPr>
        <w:t>生物质能产业发展</w:t>
      </w:r>
      <w:r>
        <w:t>思路</w:t>
      </w:r>
    </w:p>
    <w:p>
      <w:pPr>
        <w:pStyle w:val="128"/>
      </w:pPr>
      <w:r>
        <w:rPr>
          <w:rFonts w:hint="eastAsia"/>
        </w:rPr>
        <w:t>统筹生物质能源发展，有序发展生物质直燃发电，积极推进生物质气化及发电、生物质成型燃料、沼气等分布式生物质能应用。加强下一代生物燃料技术开发，推进纤维素制乙醇、微藻生物柴油产业化。</w:t>
      </w:r>
    </w:p>
    <w:p>
      <w:pPr>
        <w:pStyle w:val="126"/>
      </w:pPr>
      <w:r>
        <w:rPr>
          <w:rFonts w:hint="eastAsia"/>
        </w:rPr>
        <w:t>渭南市</w:t>
      </w:r>
      <w:r>
        <w:t>生物质</w:t>
      </w:r>
      <w:r>
        <w:rPr>
          <w:rFonts w:hint="eastAsia"/>
        </w:rPr>
        <w:t>发展</w:t>
      </w:r>
      <w:r>
        <w:t>技术路线</w:t>
      </w:r>
    </w:p>
    <w:p>
      <w:pPr>
        <w:pStyle w:val="127"/>
      </w:pPr>
      <w:r>
        <w:rPr>
          <w:rFonts w:hint="eastAsia"/>
        </w:rPr>
        <w:t>技术方向</w:t>
      </w:r>
    </w:p>
    <w:p>
      <w:pPr>
        <w:pStyle w:val="128"/>
      </w:pPr>
      <w:r>
        <w:rPr>
          <w:rFonts w:hint="eastAsia"/>
        </w:rPr>
        <w:t>（1）生物质发电项目</w:t>
      </w:r>
    </w:p>
    <w:p>
      <w:pPr>
        <w:pStyle w:val="128"/>
      </w:pPr>
      <w:r>
        <w:rPr>
          <w:rFonts w:hint="eastAsia"/>
        </w:rPr>
        <w:t>在人口规模较大的</w:t>
      </w:r>
      <w:bookmarkStart w:id="92" w:name="OLE_LINK132"/>
      <w:bookmarkStart w:id="93" w:name="OLE_LINK131"/>
      <w:r>
        <w:rPr>
          <w:rFonts w:hint="eastAsia"/>
        </w:rPr>
        <w:t>城市周边</w:t>
      </w:r>
      <w:bookmarkEnd w:id="92"/>
      <w:bookmarkEnd w:id="93"/>
      <w:r>
        <w:rPr>
          <w:rFonts w:hint="eastAsia"/>
        </w:rPr>
        <w:t>，利用生活垃圾等作为原料建设生物质直燃发电项目，推进生活垃圾二次焚烧消纳及综合利用示范工程，建立生活垃圾焚烧循环高效利用模式，加快地区垃圾焚烧发电应用比例，提高垃圾焚烧能源化利用进程。</w:t>
      </w:r>
    </w:p>
    <w:p>
      <w:pPr>
        <w:pStyle w:val="128"/>
      </w:pPr>
      <w:r>
        <w:rPr>
          <w:rFonts w:hint="eastAsia"/>
        </w:rPr>
        <w:t>在农村生物质资源比较丰富、人口密集的乡镇，主要利用</w:t>
      </w:r>
      <w:bookmarkStart w:id="94" w:name="OLE_LINK133"/>
      <w:bookmarkStart w:id="95" w:name="OLE_LINK134"/>
      <w:r>
        <w:rPr>
          <w:rFonts w:hint="eastAsia"/>
        </w:rPr>
        <w:t>农林剩余物（秸秆、畜禽粪便）、餐厨垃圾</w:t>
      </w:r>
      <w:bookmarkEnd w:id="94"/>
      <w:bookmarkEnd w:id="95"/>
      <w:r>
        <w:rPr>
          <w:rFonts w:hint="eastAsia"/>
        </w:rPr>
        <w:t>等建立分布式生物质直燃发电或燃气发电项目，提高生物质能源利用效率。选择限制燃煤供应且生物质资源丰富地区，建设生物质热电联产项目，有效替代燃煤使用。</w:t>
      </w:r>
    </w:p>
    <w:p>
      <w:pPr>
        <w:pStyle w:val="128"/>
      </w:pPr>
      <w:r>
        <w:rPr>
          <w:rFonts w:hint="eastAsia"/>
        </w:rPr>
        <w:t>（2）生物质燃气项目</w:t>
      </w:r>
    </w:p>
    <w:p>
      <w:pPr>
        <w:pStyle w:val="128"/>
      </w:pPr>
      <w:r>
        <w:rPr>
          <w:rFonts w:hint="eastAsia"/>
        </w:rPr>
        <w:t>在秸秆剩余物及禽畜粪便资源丰富区，主要利用规模化养殖场的畜禽粪便和产气率较高的玉米秸秆作为原料，</w:t>
      </w:r>
      <w:bookmarkStart w:id="96" w:name="OLE_LINK135"/>
      <w:bookmarkStart w:id="97" w:name="OLE_LINK136"/>
      <w:r>
        <w:rPr>
          <w:rFonts w:hint="eastAsia"/>
        </w:rPr>
        <w:t>推进生物天然气规模化示范项目建设，</w:t>
      </w:r>
      <w:bookmarkEnd w:id="96"/>
      <w:bookmarkEnd w:id="97"/>
      <w:r>
        <w:rPr>
          <w:rFonts w:hint="eastAsia"/>
        </w:rPr>
        <w:t>积累原料收集、生物天然气生产和市场应用等方面的经验，推动全市生物天然气规模化发展。</w:t>
      </w:r>
    </w:p>
    <w:p>
      <w:pPr>
        <w:pStyle w:val="127"/>
      </w:pPr>
      <w:r>
        <w:rPr>
          <w:rFonts w:hint="eastAsia"/>
        </w:rPr>
        <w:t>重点</w:t>
      </w:r>
      <w:r>
        <w:t>发展技术</w:t>
      </w:r>
    </w:p>
    <w:p>
      <w:pPr>
        <w:pStyle w:val="128"/>
      </w:pPr>
      <w:r>
        <w:rPr>
          <w:rFonts w:hint="eastAsia"/>
        </w:rPr>
        <w:t>（1）垃圾焚烧设施需要稳定运行，并设置除尘和脱硫设施，积极发展二噁英控制技术，要求二噁英达标排放。</w:t>
      </w:r>
    </w:p>
    <w:p>
      <w:pPr>
        <w:pStyle w:val="128"/>
      </w:pPr>
      <w:r>
        <w:rPr>
          <w:rFonts w:hint="eastAsia"/>
        </w:rPr>
        <w:t>（2）推动垃圾发电关键设备、分拣关键设备技术进步，在满足垃圾焚烧污染物排放标准前提下，积极探索垃圾焚烧小型化设施的建设。</w:t>
      </w:r>
    </w:p>
    <w:p>
      <w:pPr>
        <w:pStyle w:val="128"/>
      </w:pPr>
      <w:r>
        <w:rPr>
          <w:rFonts w:hint="eastAsia"/>
        </w:rPr>
        <w:t>（3）加快生物天然气工程技术进步，积极发展原料预处理和多种原料的混合发酵技术进步，提高工程运营自动化水平。加强沼液、沼渣高值化利用技术，提升生物有机肥料、高养分复合微生物肥料、商业液肥的制作技术工艺和设备，拓展商业化应用市场，提高生物天然气经济性。</w:t>
      </w:r>
    </w:p>
    <w:p>
      <w:pPr>
        <w:pStyle w:val="128"/>
        <w:sectPr>
          <w:pgSz w:w="11906" w:h="16838"/>
          <w:pgMar w:top="1440" w:right="1588" w:bottom="1440" w:left="1588" w:header="851" w:footer="992" w:gutter="0"/>
          <w:pgNumType w:fmt="decimal"/>
          <w:cols w:space="720" w:num="1"/>
          <w:docGrid w:linePitch="312" w:charSpace="0"/>
        </w:sectPr>
      </w:pPr>
    </w:p>
    <w:p>
      <w:pPr>
        <w:pStyle w:val="123"/>
        <w:rPr>
          <w:color w:val="auto"/>
        </w:rPr>
      </w:pPr>
      <w:bookmarkStart w:id="98" w:name="_Toc6815"/>
      <w:r>
        <w:rPr>
          <w:rFonts w:hint="eastAsia"/>
          <w:color w:val="auto"/>
        </w:rPr>
        <w:t>新材料产业集群规划</w:t>
      </w:r>
      <w:bookmarkEnd w:id="98"/>
    </w:p>
    <w:p>
      <w:pPr>
        <w:pStyle w:val="125"/>
      </w:pPr>
      <w:bookmarkStart w:id="99" w:name="_Toc8192"/>
      <w:r>
        <w:rPr>
          <w:rFonts w:hint="eastAsia"/>
        </w:rPr>
        <w:t>新材料</w:t>
      </w:r>
      <w:r>
        <w:t>的应用领域</w:t>
      </w:r>
      <w:bookmarkEnd w:id="99"/>
    </w:p>
    <w:p>
      <w:pPr>
        <w:pStyle w:val="128"/>
      </w:pPr>
      <w:r>
        <w:rPr>
          <w:rFonts w:hint="eastAsia"/>
        </w:rPr>
        <w:t>随着科学技术发展，人们在传统材料的基础上，根据现代科技的研究成果，开发出新材料。新材料按组分为金属材料、无机非金属材料（如陶瓷、砷化镓半导体等）、有机高分子材料、先进复合材料四大类。按材料性能分为结构材料和功能材料。结构材料主要是利用材料的力学和理化性能，以满足高强度、高刚度、高硬度、耐高温、耐磨、耐蚀、抗辐照等性能要求；功能材料主要是利用材料具有的电、磁、声、光热等效应，以实现某种功能，如半导体材料、磁性材料、光敏材料、热敏材料、隐身材料和制造原子弹、氢弹的核材料等。新材料在国防建设上作用重大。例如，超纯硅、砷化镓研制成功，导致大规模和超大规模集成电路的诞生，使计算机运算速度从每秒几十万次提高到现在的每秒百亿次以上；航空发动机材料的工作温度每提高100℃，推力可增大24%；隐身材料能吸收电磁波或降低武器装备的红外辐射，使敌方探测系统难以发现等等。</w:t>
      </w:r>
    </w:p>
    <w:p>
      <w:pPr>
        <w:pStyle w:val="128"/>
      </w:pPr>
      <w:r>
        <w:rPr>
          <w:rFonts w:hint="eastAsia"/>
        </w:rPr>
        <w:t>新材料作为高新技术的基础和先导，应用范围极其广泛，它同信息技术，生物技术一起成为二十一世纪最重要和最具发展潜力的领域。同传统材料一样，新材料可以从结构组成，功能和应用领域等多种不同角度对其进行分类，不同的分类之间相互交叉和嵌套。</w:t>
      </w:r>
    </w:p>
    <w:p>
      <w:pPr>
        <w:pStyle w:val="128"/>
      </w:pPr>
      <w:r>
        <w:rPr>
          <w:rFonts w:hint="eastAsia"/>
        </w:rPr>
        <w:t>新材料主要有传统材料革新和新型材料的推出构成,随着高新技术的发展，新材料与传统材料产业结合日益紧密，产业结构呈现出横向扩散的特点。</w:t>
      </w:r>
    </w:p>
    <w:p>
      <w:pPr>
        <w:pStyle w:val="128"/>
      </w:pPr>
      <w:r>
        <w:rPr>
          <w:rFonts w:hint="eastAsia"/>
        </w:rPr>
        <w:t>新材料按照应用领域来分，一般把新材料归为以下几大类。</w:t>
      </w:r>
    </w:p>
    <w:p>
      <w:pPr>
        <w:pStyle w:val="128"/>
      </w:pPr>
      <w:r>
        <w:rPr>
          <w:rFonts w:hint="eastAsia"/>
        </w:rPr>
        <w:t>（1）信息材料</w:t>
      </w:r>
    </w:p>
    <w:p>
      <w:pPr>
        <w:pStyle w:val="128"/>
      </w:pPr>
      <w:r>
        <w:rPr>
          <w:rFonts w:hint="eastAsia"/>
        </w:rPr>
        <w:t>电子信息材料及产品支撑着现代通信、计算机、信息网络、微机械智能系统、工业自动化和家电等现代高技术产业。电子信息材料产业的发展规模和技术水平，在国民经济中具有重要的战略地位，是科技创新和国际竞争最为激烈的材料领域。微电子材料在未来10～15年仍是最基本的信息材料,光电子材料将成为发展最快和最有前途的信息材料。信息材料主要可以分为以下几大类：</w:t>
      </w:r>
    </w:p>
    <w:p>
      <w:pPr>
        <w:pStyle w:val="128"/>
      </w:pPr>
      <w:r>
        <w:t>a</w:t>
      </w:r>
      <w:r>
        <w:rPr>
          <w:rFonts w:hint="eastAsia"/>
        </w:rPr>
        <w:t>）集成电路及半导体材料</w:t>
      </w:r>
    </w:p>
    <w:p>
      <w:pPr>
        <w:pStyle w:val="128"/>
      </w:pPr>
      <w:r>
        <w:rPr>
          <w:rFonts w:hint="eastAsia"/>
        </w:rPr>
        <w:t>以硅材料为主体，新的化合物半导体材料及新一代高温半导体材料也是重要组成部分，也包括高纯化学试剂和特种电子气体。</w:t>
      </w:r>
    </w:p>
    <w:p>
      <w:pPr>
        <w:pStyle w:val="128"/>
      </w:pPr>
      <w:r>
        <w:t>b</w:t>
      </w:r>
      <w:r>
        <w:rPr>
          <w:rFonts w:hint="eastAsia"/>
        </w:rPr>
        <w:t>）光电子材料</w:t>
      </w:r>
    </w:p>
    <w:p>
      <w:pPr>
        <w:pStyle w:val="128"/>
      </w:pPr>
      <w:r>
        <w:rPr>
          <w:rFonts w:hint="eastAsia"/>
        </w:rPr>
        <w:t>激光材料、红外探测器材料、液晶显示材料、高亮度发光二极管材料、光纤材料等领域。</w:t>
      </w:r>
    </w:p>
    <w:p>
      <w:pPr>
        <w:pStyle w:val="128"/>
      </w:pPr>
      <w:r>
        <w:t>c</w:t>
      </w:r>
      <w:r>
        <w:rPr>
          <w:rFonts w:hint="eastAsia"/>
        </w:rPr>
        <w:t>）新型电子元器件材料</w:t>
      </w:r>
    </w:p>
    <w:p>
      <w:pPr>
        <w:pStyle w:val="128"/>
      </w:pPr>
      <w:r>
        <w:rPr>
          <w:rFonts w:hint="eastAsia"/>
        </w:rPr>
        <w:t>磁性材料、电子陶瓷材料、压电晶体管材料、信息传感材料和高性能封装材料等。</w:t>
      </w:r>
    </w:p>
    <w:p>
      <w:pPr>
        <w:pStyle w:val="128"/>
      </w:pPr>
      <w:r>
        <w:rPr>
          <w:rFonts w:hint="eastAsia"/>
        </w:rPr>
        <w:t>当前的研究热点和技术前沿包括柔性晶体管、光子晶体、SiC、GaN、ZnSe等宽禁带半导体材料为代表的第三代半导体材料,有机显示材料以及各种纳米电子材料等。</w:t>
      </w:r>
    </w:p>
    <w:p>
      <w:pPr>
        <w:pStyle w:val="128"/>
      </w:pPr>
      <w:r>
        <w:rPr>
          <w:rFonts w:hint="eastAsia"/>
        </w:rPr>
        <w:t xml:space="preserve">（2）能源材料 </w:t>
      </w:r>
    </w:p>
    <w:p>
      <w:pPr>
        <w:pStyle w:val="128"/>
      </w:pPr>
      <w:r>
        <w:rPr>
          <w:rFonts w:hint="eastAsia"/>
        </w:rPr>
        <w:t>全球范围内能源消耗在持续增长，80%的能源来自于化石燃料，从长远来看，需要没有污染和可持续发展的新型能源来代替所有化石燃料，未来的清洁能源包括氢能、太阳能、风能、核聚变能等。解决能源问题的关键是能源材料的突破，无论是提高燃烧效率以减少资源消耗，还是开发新能源及利用再生能源都与材料有着极为密切的关系。</w:t>
      </w:r>
    </w:p>
    <w:p>
      <w:pPr>
        <w:pStyle w:val="128"/>
      </w:pPr>
      <w:r>
        <w:rPr>
          <w:rFonts w:hint="eastAsia"/>
        </w:rPr>
        <w:t>传统能源所需材料主要是提高能源利用效率，现在集中在要发展超临界蒸汽发电机组和整体煤气化联合循环技术上，这些技术对材料的要求都十分苛刻，如工程陶瓷、新型通道材料等；氢能和燃料电池：氢能生产、储存和利用所需的材料和技术，燃料电池材料等；绿色二次电池：镍氢电池、锂离子电池以及高性能聚合物电池等新型材料；太阳能电池：多晶硅、非晶硅、薄膜电池等材料；核能材料：新型核电反应堆材料。</w:t>
      </w:r>
    </w:p>
    <w:p>
      <w:pPr>
        <w:pStyle w:val="128"/>
      </w:pPr>
      <w:r>
        <w:rPr>
          <w:rFonts w:hint="eastAsia"/>
        </w:rPr>
        <w:t>新能源材料就材料种类主要包括专用薄膜，聚合物电解液，催化剂和电极，先进光电材料，特制光谱塑料和涂层，碳纳米管，金属氢化物浆料，高温超导材料，低成本低能耗民用工程材料，轻质、便宜、高效的绝缘材料，轻质、坚固、复合结构材料，超高温合金，陶瓷和复合材料，抗辐射材料，低活性材料，抗腐蚀及抗压力腐蚀裂解材料，机械和抗等离子腐蚀材料。当前研究热点和技术前沿包括高能储氢材料，聚合物电池材料,中温固体氧化物燃料电池电解质材料,多晶薄膜太阳能电池材料等。</w:t>
      </w:r>
    </w:p>
    <w:p>
      <w:pPr>
        <w:pStyle w:val="128"/>
      </w:pPr>
      <w:r>
        <w:rPr>
          <w:rFonts w:hint="eastAsia"/>
        </w:rPr>
        <w:t>（3）生物材料</w:t>
      </w:r>
    </w:p>
    <w:p>
      <w:pPr>
        <w:pStyle w:val="128"/>
      </w:pPr>
      <w:r>
        <w:rPr>
          <w:rFonts w:hint="eastAsia"/>
        </w:rPr>
        <w:t xml:space="preserve">生物材料是和生命系统结合，用以诊断、治疗或替换机体组织、器官或增进其功能的材料。它涉及材料、医学、物理、生物化学及现代高技术等诸多学科领域，已成为21世纪主要支柱产业之一。 </w:t>
      </w:r>
    </w:p>
    <w:p>
      <w:pPr>
        <w:pStyle w:val="128"/>
      </w:pPr>
      <w:r>
        <w:rPr>
          <w:rFonts w:hint="eastAsia"/>
        </w:rPr>
        <w:t>现在几乎所有类型的材料在健康治疗中都已得到应用，主要包括金属和合金，陶瓷、高分子材料、复合材料和生物质材料。高分子生物材料是生物医用材料中最活跃的领域；金属生物材料仍是临床应用最广泛的承力植入材料，医用钛及其合金，以及Ni-Ti形状记忆合金的研究与开发是一个热点；无机生物材料近年来越来越受到重视。</w:t>
      </w:r>
    </w:p>
    <w:p>
      <w:pPr>
        <w:pStyle w:val="128"/>
      </w:pPr>
      <w:r>
        <w:rPr>
          <w:rFonts w:hint="eastAsia"/>
        </w:rPr>
        <w:t>目前，国际生物医用材料研究和发展的主要方向，一是模拟人体硬软组织、器官和血液等的组成、结构和功能而开展的仿生或功能设计与制备，二是赋予材料优异的生物相容性、生物活性或生命活性。就具体材料来说，主要包括药物控制释放材料、组织工程材料、仿生材料、纳米生物材料、生物活性材料、介入诊断和治疗材料，可降解和吸收生物材料，新型人造器官，人造血液等。</w:t>
      </w:r>
    </w:p>
    <w:p>
      <w:pPr>
        <w:pStyle w:val="128"/>
      </w:pPr>
      <w:r>
        <w:rPr>
          <w:rFonts w:hint="eastAsia"/>
        </w:rPr>
        <w:t>（4）汽车材料</w:t>
      </w:r>
    </w:p>
    <w:p>
      <w:pPr>
        <w:pStyle w:val="128"/>
      </w:pPr>
      <w:r>
        <w:rPr>
          <w:rFonts w:hint="eastAsia"/>
        </w:rPr>
        <w:t>汽车用材在整个材料市场中所占的比例很小,但是属于技术要求高,技术含量高，附加值高的三高产品，代表了行业的最高水平。</w:t>
      </w:r>
    </w:p>
    <w:p>
      <w:pPr>
        <w:pStyle w:val="128"/>
      </w:pPr>
      <w:r>
        <w:rPr>
          <w:rFonts w:hint="eastAsia"/>
        </w:rPr>
        <w:t xml:space="preserve">汽车材料的需求呈现出以下特点：轻量化与环保是主要需求发展方向；各种材料在汽车上的应用比例正在发生变化，主要变化趋势是高强度钢和超高强度钢，铝合金、镁合金、塑料和复合材料的用量将有较大的增长，汽车车身结构材料将趋向多材料设计方向。同时汽车材料的回收利用也受到更多的重视，电动汽车、代用燃料汽车专用材料以及汽车功能材料的开发和应用工作不断加强。 </w:t>
      </w:r>
    </w:p>
    <w:p>
      <w:pPr>
        <w:pStyle w:val="128"/>
      </w:pPr>
      <w:r>
        <w:rPr>
          <w:rFonts w:hint="eastAsia"/>
        </w:rPr>
        <w:t>（5）纳米材料与技术</w:t>
      </w:r>
    </w:p>
    <w:p>
      <w:pPr>
        <w:pStyle w:val="128"/>
      </w:pPr>
      <w:r>
        <w:rPr>
          <w:rFonts w:hint="eastAsia"/>
        </w:rPr>
        <w:t>纳米材料及技术将成为第5次推动社会经济各领域快速发展的主导技术，21世纪前20年将是纳米材料与技术发展的关键时期。纳电子代替微电子，纳加工代替微加工，纳米材料代替微米材料，纳米生物技术代替微米尺度的生物技术，这已是不以人的意志为转移的客观规律。</w:t>
      </w:r>
    </w:p>
    <w:p>
      <w:pPr>
        <w:pStyle w:val="128"/>
      </w:pPr>
      <w:r>
        <w:rPr>
          <w:rFonts w:hint="eastAsia"/>
        </w:rPr>
        <w:t>纳米材料与科技的研究开发大部分处于基础研究阶段，如纳米电子与器件，纳米生物等高风险领域，还没有形成大规模的产业。但纳米材料及技术在电子信息产业、生物医药产业、能源产业、环境保护等方面,对相关材料的制备和应用都将产生革命性的影响。</w:t>
      </w:r>
    </w:p>
    <w:p>
      <w:pPr>
        <w:pStyle w:val="128"/>
      </w:pPr>
      <w:r>
        <w:rPr>
          <w:rFonts w:hint="eastAsia"/>
        </w:rPr>
        <w:t>（6）超导材料与技术</w:t>
      </w:r>
    </w:p>
    <w:p>
      <w:pPr>
        <w:pStyle w:val="128"/>
      </w:pPr>
      <w:r>
        <w:rPr>
          <w:rFonts w:hint="eastAsia"/>
        </w:rPr>
        <w:t>超导材料与技术是21世纪具有战略意义的高新技术，广泛用于能源、医疗、交通、科学研究及国防军工等重大领域。超导材料的应用主要取决于材料本身性能及其制备技术的发展。</w:t>
      </w:r>
    </w:p>
    <w:p>
      <w:pPr>
        <w:pStyle w:val="128"/>
      </w:pPr>
      <w:r>
        <w:rPr>
          <w:rFonts w:hint="eastAsia"/>
        </w:rPr>
        <w:t xml:space="preserve">目前,低温超导材料已经达到实用水平，高温超导材料产业化技术也取得重大突破，高温超导带材和移动通讯用高温超导滤波子系统将很快进商业化阶段. </w:t>
      </w:r>
    </w:p>
    <w:p>
      <w:pPr>
        <w:pStyle w:val="128"/>
      </w:pPr>
      <w:r>
        <w:rPr>
          <w:rFonts w:hint="eastAsia"/>
        </w:rPr>
        <w:t>（7）稀土材料</w:t>
      </w:r>
    </w:p>
    <w:p>
      <w:pPr>
        <w:pStyle w:val="128"/>
      </w:pPr>
      <w:r>
        <w:rPr>
          <w:rFonts w:hint="eastAsia"/>
        </w:rPr>
        <w:t>稀土材料是利用稀土元素优异的磁、光、电等特性开发出的一系列不可取代的，性能优越的新材料。稀土材料被广泛应用于冶金机械、石油化工、轻工农业、电子信息、能源环保、国防军工等多个领域，是当今世界各国改造传统产业，发展高新技术和国防尖端技术不可缺少的战略物资。</w:t>
      </w:r>
    </w:p>
    <w:p>
      <w:pPr>
        <w:pStyle w:val="128"/>
      </w:pPr>
      <w:r>
        <w:rPr>
          <w:rFonts w:hint="eastAsia"/>
        </w:rPr>
        <w:t>具体包括：稀土永磁材料，其是发展最快的稀土材料，包括NdFeB、SmCo等，广泛应用于电机、电声、医疗设备、磁悬浮列车及军事工业等高技术领域；贮氢合金，主要用于动力电池和燃料电池；稀土发光材料，有新型高效节能环保光源用稀土发光材料，高清晰度，数字化彩色电视机和计算机显示器用稀土发光材料，和特种或极端条件下应用的稀土发光材料等；稀土催化材料：发展重点是替代贵金属，降低催化剂的成本，提高抗中毒性能和稳定性能；稀土在其他新材料中的应用：如精密陶瓷、光学玻璃、稀土刻蚀剂、稀土无机颜料等方面也正在以较高的速度增长，如稀土电子陶瓷、稀土无机颜料等。</w:t>
      </w:r>
    </w:p>
    <w:p>
      <w:pPr>
        <w:pStyle w:val="128"/>
      </w:pPr>
      <w:r>
        <w:rPr>
          <w:rFonts w:hint="eastAsia"/>
        </w:rPr>
        <w:t>（8）新型钢铁材料</w:t>
      </w:r>
    </w:p>
    <w:p>
      <w:pPr>
        <w:pStyle w:val="128"/>
      </w:pPr>
      <w:r>
        <w:rPr>
          <w:rFonts w:hint="eastAsia"/>
        </w:rPr>
        <w:t>钢铁材料是重要的基础材料，广泛应用于能源开发、交通运输、石油化工、机械电力、轻工纺织、医疗卫生、建筑建材、家电通讯、国防建设以及高科技产业，并具有较强的竞争优势。</w:t>
      </w:r>
    </w:p>
    <w:p>
      <w:pPr>
        <w:pStyle w:val="128"/>
      </w:pPr>
      <w:r>
        <w:rPr>
          <w:rFonts w:hint="eastAsia"/>
        </w:rPr>
        <w:t>新型钢铁材料发展的重点是高性钢铁材料。其方向为高性能、长寿命，在质量上已向组织细化和精确控制，提高钢材洁净度和高均匀度方面发展。</w:t>
      </w:r>
    </w:p>
    <w:p>
      <w:pPr>
        <w:pStyle w:val="128"/>
      </w:pPr>
      <w:r>
        <w:rPr>
          <w:rFonts w:hint="eastAsia"/>
        </w:rPr>
        <w:t xml:space="preserve">（9）新型有色金属合金材料 </w:t>
      </w:r>
    </w:p>
    <w:p>
      <w:pPr>
        <w:pStyle w:val="128"/>
      </w:pPr>
      <w:r>
        <w:rPr>
          <w:rFonts w:hint="eastAsia"/>
        </w:rPr>
        <w:t>主要包括铝、镁、钛等轻金属合金以及粉末冶金材料，高纯金属材料等。</w:t>
      </w:r>
    </w:p>
    <w:p>
      <w:pPr>
        <w:pStyle w:val="128"/>
      </w:pPr>
      <w:r>
        <w:rPr>
          <w:rFonts w:hint="eastAsia"/>
        </w:rPr>
        <w:t>铝合金：包括各种新型高强高韧、高比强高比模、高强耐蚀可焊、耐热耐蚀铝合金材料，如Al-Li合金等；镁合金：包括镁合金和镁-基复合材料，超轻高塑性Mg-Li-X系合金等；钛合金材料：包括新型医用钛合金、高温钛合金、高强钛合金、低成本钛合金等；粉末冶金材料：产品主要包括铁基、铜基汽车零件、难熔金属、硬质合金等；高纯金属及材料：材料的纯度向着更纯化方向发展，其杂质含量达ppb级，产品的规格向着大型化方向发展。</w:t>
      </w:r>
    </w:p>
    <w:p>
      <w:pPr>
        <w:pStyle w:val="128"/>
      </w:pPr>
      <w:r>
        <w:rPr>
          <w:rFonts w:hint="eastAsia"/>
        </w:rPr>
        <w:t>（10）新型建筑材料</w:t>
      </w:r>
    </w:p>
    <w:p>
      <w:pPr>
        <w:pStyle w:val="128"/>
      </w:pPr>
      <w:r>
        <w:rPr>
          <w:rFonts w:hint="eastAsia"/>
        </w:rPr>
        <w:t>新型建筑材料主要包括新型墙体材料、化学建材、新型保温隔热材料、建筑装饰装修材料等。国际上建材的趋势正向环保、节能、多功能化方向发展。</w:t>
      </w:r>
    </w:p>
    <w:p>
      <w:pPr>
        <w:pStyle w:val="128"/>
      </w:pPr>
      <w:r>
        <w:rPr>
          <w:rFonts w:hint="eastAsia"/>
        </w:rPr>
        <w:t>其中玻璃的发展趋势是向着功能型、实用型、装饰型、安全型和环保型五个方向发展,包括对玻璃原片进行表面改性或精加工处理,节能的低辐射(Low-E)和阳光控制低辐射(Sun-E)膜玻璃等；此外，还包括节能、环保的新型房建材料,以及满足工程特殊需要的特种系列水泥等。</w:t>
      </w:r>
    </w:p>
    <w:p>
      <w:pPr>
        <w:pStyle w:val="128"/>
      </w:pPr>
      <w:r>
        <w:rPr>
          <w:rFonts w:hint="eastAsia"/>
        </w:rPr>
        <w:t xml:space="preserve">（11）新型化工材料 </w:t>
      </w:r>
    </w:p>
    <w:p>
      <w:pPr>
        <w:pStyle w:val="128"/>
      </w:pPr>
      <w:r>
        <w:rPr>
          <w:rFonts w:hint="eastAsia"/>
        </w:rPr>
        <w:t>化工材料在国民经济中有着重要地位，在航空航天、机械、石油工业、农业、建筑业、汽车、家电、电子、生物医用行业等都起着重要的作用。</w:t>
      </w:r>
    </w:p>
    <w:p>
      <w:pPr>
        <w:pStyle w:val="128"/>
      </w:pPr>
      <w:r>
        <w:rPr>
          <w:rFonts w:hint="eastAsia"/>
        </w:rPr>
        <w:t>新型化工材料主要包括有机氟材料、有机硅材料、高性能纤维、纳米化工材料、无机功能材料等；纳米化工材料和特种化工涂料是近年来的研究热点。精细化、专用化、功能化成了化工材料工业的重要发展趋势。</w:t>
      </w:r>
    </w:p>
    <w:p>
      <w:pPr>
        <w:pStyle w:val="128"/>
      </w:pPr>
      <w:r>
        <w:rPr>
          <w:rFonts w:hint="eastAsia"/>
        </w:rPr>
        <w:t>（12）生态环境材料</w:t>
      </w:r>
    </w:p>
    <w:p>
      <w:pPr>
        <w:pStyle w:val="128"/>
      </w:pPr>
      <w:r>
        <w:rPr>
          <w:rFonts w:hint="eastAsia"/>
        </w:rPr>
        <w:t>生态环境材料是在人类认识到生态环境保护的重要战略意义和世界各国纷纷走可持续发展道路的背景下提出来的，一般认为生态环境材料是具有满意的使用性能同时又被赋予优异的环境协调性的材料。</w:t>
      </w:r>
    </w:p>
    <w:p>
      <w:pPr>
        <w:pStyle w:val="128"/>
      </w:pPr>
      <w:r>
        <w:rPr>
          <w:rFonts w:hint="eastAsia"/>
        </w:rPr>
        <w:t>这类材料的特点是消耗的资源和能源少，对生态和环境污染小，再生利用率高，而且从材料制造、使用、废弃直到再生循环利用的整个寿命过程，都与生态环境相协调。主要包括：环境相容材料，如纯天然材料(木材、石材等)，仿生物材料(人工骨、人工器脏等)，绿色包装材料(绿色包装袋、包装容器)，生态建材(无毒装饰材料等)；环境降解材料(生物降解塑料等)；环境工程材料，如环境修复材料、环境净化材料(分子筛、离子筛材料)，环境替代材料(无磷洗衣粉助剂)等。</w:t>
      </w:r>
    </w:p>
    <w:p>
      <w:pPr>
        <w:pStyle w:val="128"/>
      </w:pPr>
      <w:r>
        <w:rPr>
          <w:rFonts w:hint="eastAsia"/>
        </w:rPr>
        <w:t>生态环境材料研究热点和发展方向包括再生聚合物(塑料)的设计，材料环境协调性评价的理论体系，降低材料环境负荷的新工艺，新技术和新方法等。</w:t>
      </w:r>
    </w:p>
    <w:p>
      <w:pPr>
        <w:pStyle w:val="128"/>
      </w:pPr>
      <w:r>
        <w:rPr>
          <w:rFonts w:hint="eastAsia"/>
        </w:rPr>
        <w:t xml:space="preserve">（13）军工新材料 </w:t>
      </w:r>
    </w:p>
    <w:p>
      <w:pPr>
        <w:pStyle w:val="128"/>
      </w:pPr>
      <w:r>
        <w:rPr>
          <w:rFonts w:hint="eastAsia"/>
        </w:rPr>
        <w:t>军工材料对国防科技，国防力量的强弱和国民经济的发展具有重要推动作用，是武器装备的物质基础和技术先导，是决定武器装备性能的重要因素，也是拓展武器装备新功能和降低武器装备全寿命费用，取得和保持武器装备竞争优势的原动力。</w:t>
      </w:r>
    </w:p>
    <w:p>
      <w:pPr>
        <w:pStyle w:val="128"/>
      </w:pPr>
      <w:r>
        <w:rPr>
          <w:rFonts w:hint="eastAsia"/>
        </w:rPr>
        <w:t>随着武器装备的迅速发展，起支撑作用的材料技术发展呈现出以下趋势：一是复合化：通过微观、介观和宏观层次的复合大幅度提高材料的综合性能；二是多功能化：通过材料成分、组织、结构的优化设计和精确控制，使单一材料具备多项功能，达到简化武器装备结构设计，实现小型化，高可靠的目的；三是高性能化：材料的综合性能不断优化，为提高武器装备的性能奠定物质基础；四是低成本化：低成本技术在材料领域是一项高科技含量的技术，对武器装备的研制和生产具有越来越重要的作用。</w:t>
      </w:r>
    </w:p>
    <w:p>
      <w:pPr>
        <w:pStyle w:val="125"/>
      </w:pPr>
      <w:bookmarkStart w:id="100" w:name="_Toc8331"/>
      <w:r>
        <w:rPr>
          <w:rFonts w:hint="eastAsia"/>
        </w:rPr>
        <w:t>渭南</w:t>
      </w:r>
      <w:r>
        <w:t>新材料产业集群发展思路</w:t>
      </w:r>
      <w:bookmarkEnd w:id="100"/>
    </w:p>
    <w:p>
      <w:pPr>
        <w:pStyle w:val="128"/>
      </w:pPr>
      <w:r>
        <w:t>以渭南市重点发展的能源化工、食品医药、通用航空、装备制造、有色冶炼和新能源等产业基础和发展方向为指导，发展相关新材料产业技术研发及下游制造产业，形成良好的产业配套和产业互动，构建集产品应用、技术研发和产品制造为一体的多种产业相互融合的产业集群。</w:t>
      </w:r>
    </w:p>
    <w:p>
      <w:pPr>
        <w:pStyle w:val="128"/>
      </w:pPr>
      <w:r>
        <w:rPr>
          <w:rFonts w:hint="eastAsia"/>
        </w:rPr>
        <w:t>渭南市新材料</w:t>
      </w:r>
      <w:r>
        <w:t>产业发展主要依托渭南高新区国家新材料、新技术培育基地，</w:t>
      </w:r>
      <w:r>
        <w:rPr>
          <w:rFonts w:hint="eastAsia"/>
        </w:rPr>
        <w:t>培育</w:t>
      </w:r>
      <w:r>
        <w:t>发展新材料产业，重点打造</w:t>
      </w:r>
      <w:r>
        <w:rPr>
          <w:rFonts w:hint="eastAsia"/>
        </w:rPr>
        <w:t>三个</w:t>
      </w:r>
      <w:r>
        <w:t>新材料</w:t>
      </w:r>
      <w:r>
        <w:rPr>
          <w:rFonts w:hint="eastAsia"/>
        </w:rPr>
        <w:t>产业</w:t>
      </w:r>
      <w:r>
        <w:t>集群</w:t>
      </w:r>
      <w:r>
        <w:rPr>
          <w:rFonts w:hint="eastAsia"/>
        </w:rPr>
        <w:t>：</w:t>
      </w:r>
      <w:r>
        <w:rPr>
          <w:rFonts w:hint="eastAsia"/>
          <w:lang w:eastAsia="zh-CN"/>
        </w:rPr>
        <w:t>（</w:t>
      </w:r>
      <w:r>
        <w:rPr>
          <w:rFonts w:hint="eastAsia"/>
          <w:lang w:val="en-US" w:eastAsia="zh-CN"/>
        </w:rPr>
        <w:t>1</w:t>
      </w:r>
      <w:r>
        <w:rPr>
          <w:rFonts w:hint="eastAsia"/>
          <w:lang w:eastAsia="zh-CN"/>
        </w:rPr>
        <w:t>）</w:t>
      </w:r>
      <w:r>
        <w:rPr>
          <w:rFonts w:hint="eastAsia"/>
        </w:rPr>
        <w:t>富平</w:t>
      </w:r>
      <w:r>
        <w:t>航空航天新材料产业集群</w:t>
      </w:r>
      <w:r>
        <w:rPr>
          <w:rFonts w:hint="eastAsia"/>
          <w:lang w:eastAsia="zh-CN"/>
        </w:rPr>
        <w:t>。</w:t>
      </w:r>
      <w:r>
        <w:rPr>
          <w:rFonts w:hint="eastAsia"/>
        </w:rPr>
        <w:t>充分</w:t>
      </w:r>
      <w:r>
        <w:t>发挥铝电</w:t>
      </w:r>
      <w:r>
        <w:rPr>
          <w:rFonts w:hint="eastAsia"/>
        </w:rPr>
        <w:t>资源优势</w:t>
      </w:r>
      <w:r>
        <w:t>，发展航空铝材</w:t>
      </w:r>
      <w:r>
        <w:rPr>
          <w:rFonts w:hint="eastAsia"/>
          <w:lang w:eastAsia="zh-CN"/>
        </w:rPr>
        <w:t>。（</w:t>
      </w:r>
      <w:r>
        <w:rPr>
          <w:rFonts w:hint="eastAsia"/>
          <w:lang w:val="en-US" w:eastAsia="zh-CN"/>
        </w:rPr>
        <w:t>2</w:t>
      </w:r>
      <w:r>
        <w:rPr>
          <w:rFonts w:hint="eastAsia"/>
          <w:lang w:eastAsia="zh-CN"/>
        </w:rPr>
        <w:t>）</w:t>
      </w:r>
      <w:r>
        <w:t>高新区3D打印专用特色新材料产业集群</w:t>
      </w:r>
      <w:r>
        <w:rPr>
          <w:rFonts w:hint="eastAsia"/>
          <w:lang w:eastAsia="zh-CN"/>
        </w:rPr>
        <w:t>。</w:t>
      </w:r>
      <w:r>
        <w:rPr>
          <w:rFonts w:hint="eastAsia"/>
        </w:rPr>
        <w:t>加大3D打印</w:t>
      </w:r>
      <w:r>
        <w:t>专用金属、智能材料、合成生物材料以及电子信息材料的研发和应用，发展高性能复合材料、</w:t>
      </w:r>
      <w:r>
        <w:rPr>
          <w:rFonts w:hint="eastAsia"/>
        </w:rPr>
        <w:t>无机</w:t>
      </w:r>
      <w:r>
        <w:t>非金属新材料和绿色建材产业，打造特色新材料产业基地。</w:t>
      </w:r>
      <w:r>
        <w:rPr>
          <w:rFonts w:hint="eastAsia"/>
          <w:lang w:eastAsia="zh-CN"/>
        </w:rPr>
        <w:t>（</w:t>
      </w:r>
      <w:r>
        <w:rPr>
          <w:rFonts w:hint="eastAsia"/>
          <w:lang w:val="en-US" w:eastAsia="zh-CN"/>
        </w:rPr>
        <w:t>3</w:t>
      </w:r>
      <w:r>
        <w:rPr>
          <w:rFonts w:hint="eastAsia"/>
          <w:lang w:eastAsia="zh-CN"/>
        </w:rPr>
        <w:t>）</w:t>
      </w:r>
      <w:r>
        <w:rPr>
          <w:rFonts w:hint="eastAsia"/>
        </w:rPr>
        <w:t>华州区</w:t>
      </w:r>
      <w:r>
        <w:t>钼基新材料产业集群。</w:t>
      </w:r>
      <w:r>
        <w:rPr>
          <w:rFonts w:hint="eastAsia"/>
        </w:rPr>
        <w:t>依托</w:t>
      </w:r>
      <w:r>
        <w:t>华阴</w:t>
      </w:r>
      <w:r>
        <w:rPr>
          <w:rFonts w:hint="eastAsia"/>
        </w:rPr>
        <w:t>钼矿</w:t>
      </w:r>
      <w:r>
        <w:t>，</w:t>
      </w:r>
      <w:r>
        <w:rPr>
          <w:rFonts w:hint="eastAsia"/>
        </w:rPr>
        <w:t>大力</w:t>
      </w:r>
      <w:r>
        <w:t>发展钼基新材料产业</w:t>
      </w:r>
      <w:r>
        <w:rPr>
          <w:rFonts w:hint="eastAsia"/>
        </w:rPr>
        <w:t>。同时</w:t>
      </w:r>
      <w:r>
        <w:t>，借助渭南市渭北煤化工发展优势及条件，大力发展下游化工新材料，</w:t>
      </w:r>
      <w:r>
        <w:rPr>
          <w:rFonts w:hint="eastAsia"/>
        </w:rPr>
        <w:t>形成</w:t>
      </w:r>
      <w:r>
        <w:t>上下游完善的大化工和精细化工集群。</w:t>
      </w:r>
    </w:p>
    <w:p>
      <w:pPr>
        <w:pStyle w:val="125"/>
      </w:pPr>
      <w:bookmarkStart w:id="101" w:name="_Toc4755"/>
      <w:r>
        <w:rPr>
          <w:rFonts w:hint="eastAsia"/>
        </w:rPr>
        <w:t>富平</w:t>
      </w:r>
      <w:r>
        <w:t>航空新材料产业集群</w:t>
      </w:r>
      <w:bookmarkEnd w:id="101"/>
    </w:p>
    <w:p>
      <w:pPr>
        <w:pStyle w:val="126"/>
      </w:pPr>
      <w:r>
        <w:rPr>
          <w:rFonts w:hint="eastAsia"/>
        </w:rPr>
        <w:t>航空</w:t>
      </w:r>
      <w:r>
        <w:t>新材料的发展前景</w:t>
      </w:r>
    </w:p>
    <w:p>
      <w:pPr>
        <w:pStyle w:val="128"/>
      </w:pPr>
      <w:r>
        <w:rPr>
          <w:rFonts w:hint="eastAsia"/>
        </w:rPr>
        <w:t>航空</w:t>
      </w:r>
      <w:r>
        <w:t>材料与航空技术的关系极为密切，航空航天技术的发展离不开与其相对应的航空航天材料的发展，航空材料既是研制生产航空产品的物质保障，又是推动航空产品更新换代的技术</w:t>
      </w:r>
      <w:r>
        <w:rPr>
          <w:rFonts w:hint="eastAsia"/>
        </w:rPr>
        <w:t>基础</w:t>
      </w:r>
      <w:r>
        <w:t>。</w:t>
      </w:r>
    </w:p>
    <w:p>
      <w:pPr>
        <w:pStyle w:val="128"/>
      </w:pPr>
      <w:r>
        <w:t>在航空制造发展的过程中，材料的更新换代呈现出高速的更迭变换，材料和飞机一直在相互推动下不断发展。</w:t>
      </w:r>
      <w:r>
        <w:rPr>
          <w:rFonts w:hint="eastAsia"/>
        </w:rPr>
        <w:t>“</w:t>
      </w:r>
      <w:r>
        <w:t>一代材料，一代飞机</w:t>
      </w:r>
      <w:r>
        <w:rPr>
          <w:rFonts w:hint="eastAsia"/>
        </w:rPr>
        <w:t>”</w:t>
      </w:r>
      <w:r>
        <w:t>正是世界航空发展史的一个真实写照。预计全球客机数量年均增长率为3.6%，到2029年，全球客机数量将近35000架。未来几年中国飞机制造行业对航空材料的需求将迅速增长。根据中国航空工业第一集团公司预测，到2025年，国内航空运输飞机拥有量将达到3900架，其中大型客机将达2000架。这将使中国成为仅次于美国的全球第二大航空市场。未来20年，亚太地区将继续在全球空运市场中占主导地位，亚太地区航空公司运营的专用货机机队将增长4倍，达到1056架的规模。另外在发展太空探索科技领域，对航空材料的需求也在增加。</w:t>
      </w:r>
    </w:p>
    <w:p>
      <w:pPr>
        <w:pStyle w:val="128"/>
      </w:pPr>
      <w:r>
        <w:rPr>
          <w:rFonts w:hint="eastAsia"/>
        </w:rPr>
        <w:t>国家高度重视以大飞机为代表的航空产业发展，即将出台的《战略新兴产业“十三五”规划》，将重点发展130-200座级、单通道、高亚声速、中短途运输机，以及250-350座级、双通道、高亚声速、中远程运输机。此外，先进涡扇支线飞机、涡桨支线飞机、先进70座级涡桨支线飞机、无人机等重点飞机型号，也将成为“十三五”期间飞机制造领域的发展重点。得益于技术的进步以及国家政策的支持，我国民用飞机制造市场广阔，而铝作为航空器材制造最重要的金属材料之一将发挥举足轻重的作用。</w:t>
      </w:r>
    </w:p>
    <w:p>
      <w:pPr>
        <w:pStyle w:val="128"/>
      </w:pPr>
      <w:r>
        <w:rPr>
          <w:rFonts w:hint="eastAsia"/>
        </w:rPr>
        <w:t>中国航空产业对铝合金材料的需求增加了中国铝加工企业航空铝材研发和规模化生产的紧迫感。铝合金凭借密度小、强度适中、易加工成形、耐腐蚀性强，资源丰富、可回收性强等独特的优势，成为航空器制造的主要关键性结构材料。</w:t>
      </w:r>
    </w:p>
    <w:p>
      <w:pPr>
        <w:pStyle w:val="126"/>
      </w:pPr>
      <w:r>
        <w:rPr>
          <w:rFonts w:hint="eastAsia"/>
        </w:rPr>
        <w:t>渭南市</w:t>
      </w:r>
      <w:r>
        <w:t>发展航空</w:t>
      </w:r>
      <w:r>
        <w:rPr>
          <w:rFonts w:hint="eastAsia"/>
        </w:rPr>
        <w:t>新材料</w:t>
      </w:r>
      <w:r>
        <w:t>产业的优势</w:t>
      </w:r>
    </w:p>
    <w:p>
      <w:pPr>
        <w:pStyle w:val="127"/>
      </w:pPr>
      <w:r>
        <w:rPr>
          <w:rFonts w:hint="eastAsia"/>
        </w:rPr>
        <w:t>卤阳湖航空</w:t>
      </w:r>
      <w:r>
        <w:t>产业</w:t>
      </w:r>
      <w:r>
        <w:rPr>
          <w:rFonts w:hint="eastAsia"/>
        </w:rPr>
        <w:t>集群内需</w:t>
      </w:r>
      <w:r>
        <w:t>拉动</w:t>
      </w:r>
    </w:p>
    <w:p>
      <w:pPr>
        <w:pStyle w:val="128"/>
      </w:pPr>
      <w:r>
        <w:rPr>
          <w:rFonts w:hint="eastAsia"/>
        </w:rPr>
        <w:t>通用飞机是一个朝阳产业，是国家发展战略和中长期规划发展的重中之重，有望成为我国未来20年来最有发展潜力的产业。渭南市发展通用航空产业有着得天独厚的优势，蒲城内府机场有半径20k</w:t>
      </w:r>
      <w:r>
        <w:t>m</w:t>
      </w:r>
      <w:r>
        <w:rPr>
          <w:rFonts w:hint="eastAsia"/>
        </w:rPr>
        <w:t>，高度2000m以下的本场空域，国内少见。集陆地、草地、水上三跑道为一处，全国独有。地势平坦，周边净空条件良好，有12.5k</w:t>
      </w:r>
      <w:r>
        <w:t>m</w:t>
      </w:r>
      <w:r>
        <w:rPr>
          <w:vertAlign w:val="superscript"/>
        </w:rPr>
        <w:t>2</w:t>
      </w:r>
      <w:r>
        <w:rPr>
          <w:rFonts w:hint="eastAsia"/>
        </w:rPr>
        <w:t>盐湖湖面和5k</w:t>
      </w:r>
      <w:r>
        <w:t>m</w:t>
      </w:r>
      <w:r>
        <w:rPr>
          <w:vertAlign w:val="superscript"/>
        </w:rPr>
        <w:t>2</w:t>
      </w:r>
      <w:r>
        <w:rPr>
          <w:rFonts w:hint="eastAsia"/>
        </w:rPr>
        <w:t>的草地可作为飞行体验区。发展通用航空产业主要依托省级卤阳湖现代产业综合开发区，以通用航空制造、通用航空运营服务、飞行员培训、航空主题体验旅游为主导产业。构建完善的通用航空产业整个体系，将对渭南市产业结构的调整发挥重要作用，每年可为渭南GDP贡献实现30亿元，成为渭南经济发展新的增长点。</w:t>
      </w:r>
    </w:p>
    <w:p>
      <w:pPr>
        <w:pStyle w:val="128"/>
      </w:pPr>
      <w:r>
        <w:rPr>
          <w:rFonts w:hint="eastAsia"/>
        </w:rPr>
        <w:t>根据</w:t>
      </w:r>
      <w:r>
        <w:t>渭南市</w:t>
      </w:r>
      <w:r>
        <w:rPr>
          <w:rFonts w:hint="eastAsia"/>
        </w:rPr>
        <w:t>“关于</w:t>
      </w:r>
      <w:r>
        <w:t>加快全市工业经济转型的意见</w:t>
      </w:r>
      <w:r>
        <w:rPr>
          <w:rFonts w:hint="eastAsia"/>
        </w:rPr>
        <w:t>”，“十三五”期间</w:t>
      </w:r>
      <w:r>
        <w:t>，将依托</w:t>
      </w:r>
      <w:r>
        <w:rPr>
          <w:rFonts w:hint="eastAsia"/>
        </w:rPr>
        <w:t>阎良航空</w:t>
      </w:r>
      <w:r>
        <w:t>产业科技优势，</w:t>
      </w:r>
      <w:r>
        <w:rPr>
          <w:rFonts w:hint="eastAsia"/>
        </w:rPr>
        <w:t>深化军民</w:t>
      </w:r>
      <w:r>
        <w:t>融合协调发展，培育民机试飞、通用航空、航空装备制造、航空物流和</w:t>
      </w:r>
      <w:r>
        <w:rPr>
          <w:rFonts w:hint="eastAsia"/>
        </w:rPr>
        <w:t>支线机场“五位一体”航空</w:t>
      </w:r>
      <w:r>
        <w:t>产业集群，</w:t>
      </w:r>
      <w:r>
        <w:rPr>
          <w:rFonts w:hint="eastAsia"/>
        </w:rPr>
        <w:t>推进</w:t>
      </w:r>
      <w:r>
        <w:t>国家民机可研试飞基地项目建设，打造国家民机科研试飞基地。加快</w:t>
      </w:r>
      <w:r>
        <w:rPr>
          <w:rFonts w:hint="eastAsia"/>
        </w:rPr>
        <w:t>推进</w:t>
      </w:r>
      <w:r>
        <w:t>陕西力控直升机制造等项目建设，积极策划包装航空产业类项目，争取俄罗斯伊尔—76</w:t>
      </w:r>
      <w:r>
        <w:rPr>
          <w:rFonts w:hint="eastAsia"/>
        </w:rPr>
        <w:t>飞机</w:t>
      </w:r>
      <w:r>
        <w:t>改装制造、波音</w:t>
      </w:r>
      <w:r>
        <w:rPr>
          <w:rFonts w:hint="eastAsia"/>
        </w:rPr>
        <w:t>737交付</w:t>
      </w:r>
      <w:r>
        <w:t>中心、新加坡宝德集团航空物流园、汉能无人机、航空航天博览园、直升机场及物资储备库</w:t>
      </w:r>
      <w:r>
        <w:rPr>
          <w:rFonts w:hint="eastAsia"/>
        </w:rPr>
        <w:t>等</w:t>
      </w:r>
      <w:r>
        <w:t>一批重点项目落户。</w:t>
      </w:r>
      <w:r>
        <w:rPr>
          <w:rFonts w:hint="eastAsia"/>
        </w:rPr>
        <w:t>加快</w:t>
      </w:r>
      <w:r>
        <w:t>实施富平高新区飞机维修改装、海天无人机、韦加公司无人机等项目建设。</w:t>
      </w:r>
    </w:p>
    <w:p>
      <w:pPr>
        <w:pStyle w:val="127"/>
      </w:pPr>
      <w:r>
        <w:rPr>
          <w:rFonts w:hint="eastAsia"/>
        </w:rPr>
        <w:t>阎良区航空</w:t>
      </w:r>
      <w:r>
        <w:t>产业的辐射带动</w:t>
      </w:r>
    </w:p>
    <w:p>
      <w:pPr>
        <w:pStyle w:val="128"/>
      </w:pPr>
      <w:r>
        <w:rPr>
          <w:rFonts w:hint="eastAsia"/>
        </w:rPr>
        <w:t>阎良区位于</w:t>
      </w:r>
      <w:r>
        <w:t>西安市东北部，</w:t>
      </w:r>
      <w:r>
        <w:rPr>
          <w:rFonts w:hint="eastAsia"/>
        </w:rPr>
        <w:t>全区</w:t>
      </w:r>
      <w:r>
        <w:t>总面积</w:t>
      </w:r>
      <w:r>
        <w:rPr>
          <w:rFonts w:hint="eastAsia"/>
        </w:rPr>
        <w:t>244km</w:t>
      </w:r>
      <w:r>
        <w:rPr>
          <w:vertAlign w:val="superscript"/>
        </w:rPr>
        <w:t>2</w:t>
      </w:r>
      <w:r>
        <w:t>，</w:t>
      </w:r>
      <w:r>
        <w:rPr>
          <w:rFonts w:hint="eastAsia"/>
        </w:rPr>
        <w:t>是一座</w:t>
      </w:r>
      <w:r>
        <w:t>资源丰富的航空</w:t>
      </w:r>
      <w:r>
        <w:rPr>
          <w:rFonts w:hint="eastAsia"/>
        </w:rPr>
        <w:t>名城</w:t>
      </w:r>
      <w:r>
        <w:t>。</w:t>
      </w:r>
      <w:r>
        <w:rPr>
          <w:rFonts w:hint="eastAsia"/>
        </w:rPr>
        <w:t>区内</w:t>
      </w:r>
      <w:r>
        <w:t>有中航工业试飞中心、第一飞机设计研究院、西飞公司、中国飞机强度研究所等大型航空事业单位，聚集了陕西</w:t>
      </w:r>
      <w:r>
        <w:rPr>
          <w:rFonts w:hint="eastAsia"/>
        </w:rPr>
        <w:t>1/3以上</w:t>
      </w:r>
      <w:r>
        <w:t>的航空资源。</w:t>
      </w:r>
      <w:r>
        <w:rPr>
          <w:rFonts w:hint="eastAsia"/>
        </w:rPr>
        <w:t>“轰六”、“运七”、“运八”、“飞豹”、小鹰系列、“新舟600”等30多种</w:t>
      </w:r>
      <w:r>
        <w:t>军</w:t>
      </w:r>
      <w:r>
        <w:rPr>
          <w:rFonts w:hint="eastAsia"/>
        </w:rPr>
        <w:t>、</w:t>
      </w:r>
      <w:r>
        <w:t>民用飞机</w:t>
      </w:r>
      <w:r>
        <w:rPr>
          <w:rFonts w:hint="eastAsia"/>
        </w:rPr>
        <w:t>诞生于此</w:t>
      </w:r>
      <w:r>
        <w:t>。</w:t>
      </w:r>
      <w:r>
        <w:rPr>
          <w:rFonts w:hint="eastAsia"/>
        </w:rPr>
        <w:t>阎良区是国务院</w:t>
      </w:r>
      <w:r>
        <w:t>批准的国家级航空经济技术开发区。</w:t>
      </w:r>
      <w:r>
        <w:rPr>
          <w:rFonts w:hint="eastAsia"/>
        </w:rPr>
        <w:t>阎良区</w:t>
      </w:r>
      <w:r>
        <w:t>已成为</w:t>
      </w:r>
      <w:r>
        <w:rPr>
          <w:rFonts w:hint="eastAsia"/>
        </w:rPr>
        <w:t>中国唯一</w:t>
      </w:r>
      <w:r>
        <w:t>、亚洲最大的集飞机研究设计、生产制造、试飞鉴定、教育培训、旅游体验、交流会展六位一体的航空工业基地，被誉为</w:t>
      </w:r>
      <w:r>
        <w:rPr>
          <w:rFonts w:hint="eastAsia"/>
        </w:rPr>
        <w:t>“中国</w:t>
      </w:r>
      <w:r>
        <w:t>航空城</w:t>
      </w:r>
      <w:r>
        <w:rPr>
          <w:rFonts w:hint="eastAsia"/>
        </w:rPr>
        <w:t>”。</w:t>
      </w:r>
    </w:p>
    <w:p>
      <w:pPr>
        <w:pStyle w:val="129"/>
      </w:pPr>
      <w:r>
        <w:drawing>
          <wp:inline distT="0" distB="0" distL="0" distR="0">
            <wp:extent cx="2153920" cy="1799590"/>
            <wp:effectExtent l="0" t="0" r="0" b="0"/>
            <wp:docPr id="14" name="图片 14" descr="C:\Users\12017\AppData\Roaming\Tencent\Users\497121372\QQ\WinTemp\RichOle\@TR(@DNR9BX~88Y7]K@}X5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12017\AppData\Roaming\Tencent\Users\497121372\QQ\WinTemp\RichOle\@TR(@DNR9BX~88Y7]K@}X5W.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2153957" cy="1800000"/>
                    </a:xfrm>
                    <a:prstGeom prst="rect">
                      <a:avLst/>
                    </a:prstGeom>
                    <a:noFill/>
                    <a:ln>
                      <a:noFill/>
                    </a:ln>
                  </pic:spPr>
                </pic:pic>
              </a:graphicData>
            </a:graphic>
          </wp:inline>
        </w:drawing>
      </w:r>
      <w:r>
        <w:drawing>
          <wp:inline distT="0" distB="0" distL="0" distR="0">
            <wp:extent cx="2710815" cy="1799590"/>
            <wp:effectExtent l="0" t="0" r="0" b="0"/>
            <wp:docPr id="17" name="图片 17" descr="E:\20160802 渭南市新能源新材料产业规划\04 作图\阎良 歼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E:\20160802 渭南市新能源新材料产业规划\04 作图\阎良 歼10.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2711178" cy="1800000"/>
                    </a:xfrm>
                    <a:prstGeom prst="rect">
                      <a:avLst/>
                    </a:prstGeom>
                    <a:noFill/>
                    <a:ln>
                      <a:noFill/>
                    </a:ln>
                  </pic:spPr>
                </pic:pic>
              </a:graphicData>
            </a:graphic>
          </wp:inline>
        </w:drawing>
      </w:r>
    </w:p>
    <w:p>
      <w:pPr>
        <w:pStyle w:val="137"/>
        <w:numPr>
          <w:ilvl w:val="0"/>
          <w:numId w:val="15"/>
        </w:numPr>
      </w:pPr>
      <w:r>
        <w:rPr>
          <w:rFonts w:hint="eastAsia"/>
        </w:rPr>
        <w:t>阎良</w:t>
      </w:r>
      <w:r>
        <w:t>空警</w:t>
      </w:r>
      <w:r>
        <w:rPr>
          <w:rFonts w:hint="eastAsia"/>
        </w:rPr>
        <w:t>200和歼10参加珠海</w:t>
      </w:r>
      <w:r>
        <w:t>航展</w:t>
      </w:r>
    </w:p>
    <w:p>
      <w:pPr>
        <w:pStyle w:val="128"/>
      </w:pPr>
      <w:r>
        <w:rPr>
          <w:rFonts w:hint="eastAsia"/>
        </w:rPr>
        <w:t>当前，</w:t>
      </w:r>
      <w:r>
        <w:t>阎良进入加快发展、跨越发展时期，陕西省西安市赋予阎良西安国际化大都市副中心城市的全新定位，打造</w:t>
      </w:r>
      <w:r>
        <w:rPr>
          <w:rFonts w:hint="eastAsia"/>
        </w:rPr>
        <w:t>渭北</w:t>
      </w:r>
      <w:r>
        <w:t>工业区航空工业组团，并在省市</w:t>
      </w:r>
      <w:r>
        <w:rPr>
          <w:rFonts w:hint="eastAsia"/>
        </w:rPr>
        <w:t>共建</w:t>
      </w:r>
      <w:r>
        <w:t>大西安、《</w:t>
      </w:r>
      <w:r>
        <w:rPr>
          <w:rFonts w:hint="eastAsia"/>
        </w:rPr>
        <w:t>渭北</w:t>
      </w:r>
      <w:r>
        <w:t>工业区规划》</w:t>
      </w:r>
      <w:r>
        <w:rPr>
          <w:rFonts w:hint="eastAsia"/>
        </w:rPr>
        <w:t>以及</w:t>
      </w:r>
      <w:r>
        <w:t>副中心城市建设等方面</w:t>
      </w:r>
      <w:r>
        <w:rPr>
          <w:rFonts w:hint="eastAsia"/>
        </w:rPr>
        <w:t>给予</w:t>
      </w:r>
      <w:r>
        <w:t>重大支持。</w:t>
      </w:r>
      <w:r>
        <w:rPr>
          <w:rFonts w:hint="eastAsia"/>
        </w:rPr>
        <w:t>中航工业</w:t>
      </w:r>
      <w:r>
        <w:t>集团、航空产业基地与阎良融合发展、促进航空领域深层次发展。</w:t>
      </w:r>
    </w:p>
    <w:p>
      <w:pPr>
        <w:pStyle w:val="126"/>
      </w:pPr>
      <w:r>
        <w:rPr>
          <w:rFonts w:hint="eastAsia"/>
        </w:rPr>
        <w:t>渭南</w:t>
      </w:r>
      <w:r>
        <w:t>航空新材料的发展</w:t>
      </w:r>
      <w:r>
        <w:rPr>
          <w:rFonts w:hint="eastAsia"/>
        </w:rPr>
        <w:t>思路</w:t>
      </w:r>
    </w:p>
    <w:p>
      <w:pPr>
        <w:pStyle w:val="128"/>
      </w:pPr>
      <w:r>
        <w:rPr>
          <w:rFonts w:hint="eastAsia"/>
        </w:rPr>
        <w:t>航空航天</w:t>
      </w:r>
      <w:r>
        <w:t>材料按材料的适用对象不同可分为飞机材料、航空发动机材料、火箭和导弹材料和航天器材料等。按</w:t>
      </w:r>
      <w:r>
        <w:rPr>
          <w:rFonts w:hint="eastAsia"/>
        </w:rPr>
        <w:t>材料</w:t>
      </w:r>
      <w:r>
        <w:t>的化学成分可分为金属与合金材料：铝合金、镁合金、钛合金、钢、高温合金、粉末冶金合金等；有机非金属材料（</w:t>
      </w:r>
      <w:r>
        <w:rPr>
          <w:rFonts w:hint="eastAsia"/>
        </w:rPr>
        <w:t>高分子材料</w:t>
      </w:r>
      <w:r>
        <w:t>）</w:t>
      </w:r>
      <w:r>
        <w:rPr>
          <w:rFonts w:hint="eastAsia"/>
        </w:rPr>
        <w:t>：</w:t>
      </w:r>
      <w:r>
        <w:t>透明材料、</w:t>
      </w:r>
      <w:r>
        <w:rPr>
          <w:rFonts w:hint="eastAsia"/>
        </w:rPr>
        <w:t>胶粘剂</w:t>
      </w:r>
      <w:r>
        <w:t>、橡胶及密封剂、涂料、工程塑料等；无机非金属材料：玻璃、陶瓷等；复合材料：聚合物基复合材料、金属基复合材料、无机非金属基复合材料、</w:t>
      </w:r>
      <w:r>
        <w:rPr>
          <w:rFonts w:hint="eastAsia"/>
        </w:rPr>
        <w:t>碳</w:t>
      </w:r>
      <w:r>
        <w:t>/</w:t>
      </w:r>
      <w:r>
        <w:rPr>
          <w:rFonts w:hint="eastAsia"/>
        </w:rPr>
        <w:t>碳复合</w:t>
      </w:r>
      <w:r>
        <w:t>材料等。</w:t>
      </w:r>
      <w:r>
        <w:rPr>
          <w:rFonts w:hint="eastAsia"/>
        </w:rPr>
        <w:t>四个具有</w:t>
      </w:r>
      <w:r>
        <w:t>代表性的材料有：</w:t>
      </w:r>
    </w:p>
    <w:p>
      <w:pPr>
        <w:pStyle w:val="128"/>
      </w:pPr>
      <w:r>
        <w:rPr>
          <w:rFonts w:hint="eastAsia"/>
        </w:rPr>
        <w:t>（1）铝合金</w:t>
      </w:r>
    </w:p>
    <w:p>
      <w:pPr>
        <w:pStyle w:val="128"/>
      </w:pPr>
      <w:r>
        <w:rPr>
          <w:rFonts w:hint="eastAsia"/>
        </w:rPr>
        <w:t>铝合金因其</w:t>
      </w:r>
      <w:r>
        <w:t>技术成熟、成本低、使用经验丰富等优势，在相当长时期内，仍</w:t>
      </w:r>
      <w:r>
        <w:rPr>
          <w:rFonts w:hint="eastAsia"/>
        </w:rPr>
        <w:t>将是</w:t>
      </w:r>
      <w:r>
        <w:t>亚音速飞机和超音速飞机的主要结构用材之一。</w:t>
      </w:r>
    </w:p>
    <w:p>
      <w:pPr>
        <w:pStyle w:val="128"/>
      </w:pPr>
      <w:r>
        <w:rPr>
          <w:rFonts w:hint="eastAsia"/>
        </w:rPr>
        <w:t>航空铝材与普通铝合金相比，对强度、硬度、韧性、抗疲劳性、塑性有较高的要求。航空铝材有硬铝、超硬铝、防锈铝合金、锻造铝合金和铸造铝合金等多种。</w:t>
      </w:r>
    </w:p>
    <w:p>
      <w:pPr>
        <w:pStyle w:val="128"/>
      </w:pPr>
      <w:r>
        <w:rPr>
          <w:rFonts w:hint="eastAsia"/>
        </w:rPr>
        <w:t>a）硬铝：铝镁铜合金。航空业应用最广泛的铝合金。常用2024、2A12、2017A，强度、韧性、抗疲劳性较好，塑性好。用来制造蒙皮、隔框、翼肋等。</w:t>
      </w:r>
    </w:p>
    <w:p>
      <w:pPr>
        <w:pStyle w:val="128"/>
      </w:pPr>
      <w:r>
        <w:rPr>
          <w:rFonts w:hint="eastAsia"/>
        </w:rPr>
        <w:t>b）超硬铝：铝锌镁铜合金。常用7075、7A09，强度极限和屈服强度高，承受载荷大，用来制造机翼上翼面蒙皮、大梁等。</w:t>
      </w:r>
    </w:p>
    <w:p>
      <w:pPr>
        <w:pStyle w:val="128"/>
      </w:pPr>
      <w:r>
        <w:rPr>
          <w:rFonts w:hint="eastAsia"/>
        </w:rPr>
        <w:t>c）防锈铝合金：常用铝镁合金5A02、5A06、5B05。具有较高的抗蚀性、抗疲劳性、良好的塑性、焊接性。用来制造邮箱、油管等。</w:t>
      </w:r>
    </w:p>
    <w:p>
      <w:pPr>
        <w:pStyle w:val="128"/>
      </w:pPr>
      <w:r>
        <w:rPr>
          <w:rFonts w:hint="eastAsia"/>
        </w:rPr>
        <w:t>d）锻造铝合金，常用6A02，硬度高，具有良好的耐腐蚀性。制造发动机零件、接头等。</w:t>
      </w:r>
    </w:p>
    <w:p>
      <w:pPr>
        <w:pStyle w:val="128"/>
      </w:pPr>
      <w:r>
        <w:rPr>
          <w:rFonts w:hint="eastAsia"/>
        </w:rPr>
        <w:t>e）铸造铝合金，比重小，抗蚀性、耐热性高，制造发动机机匣等。</w:t>
      </w:r>
    </w:p>
    <w:p>
      <w:pPr>
        <w:pStyle w:val="128"/>
      </w:pPr>
      <w:r>
        <w:rPr>
          <w:rFonts w:hint="eastAsia"/>
        </w:rPr>
        <w:t>（2）结构钢</w:t>
      </w:r>
    </w:p>
    <w:p>
      <w:pPr>
        <w:pStyle w:val="128"/>
      </w:pPr>
      <w:r>
        <w:rPr>
          <w:rFonts w:hint="eastAsia"/>
        </w:rPr>
        <w:t>一些新型</w:t>
      </w:r>
      <w:r>
        <w:t>超高强度钢在今后仍然还会是起落架、主要接头、隔框等一些主要承力结构的备选材料。</w:t>
      </w:r>
    </w:p>
    <w:p>
      <w:pPr>
        <w:pStyle w:val="128"/>
      </w:pPr>
      <w:r>
        <w:rPr>
          <w:rFonts w:hint="eastAsia"/>
        </w:rPr>
        <w:t>（3）钛合金</w:t>
      </w:r>
    </w:p>
    <w:p>
      <w:pPr>
        <w:pStyle w:val="128"/>
      </w:pPr>
      <w:r>
        <w:rPr>
          <w:rFonts w:hint="eastAsia"/>
        </w:rPr>
        <w:t>钛合金在</w:t>
      </w:r>
      <w:r>
        <w:t>飞机结构用材中所占的重要地位已确定无疑，但是钛合金的较贵的价格和较差的工艺性，是影响使用的很大因素。</w:t>
      </w:r>
    </w:p>
    <w:p>
      <w:pPr>
        <w:pStyle w:val="128"/>
      </w:pPr>
      <w:r>
        <w:rPr>
          <w:rFonts w:hint="eastAsia"/>
        </w:rPr>
        <w:t>（4）先进复合</w:t>
      </w:r>
      <w:r>
        <w:t>材料</w:t>
      </w:r>
    </w:p>
    <w:p>
      <w:pPr>
        <w:pStyle w:val="128"/>
      </w:pPr>
      <w:r>
        <w:rPr>
          <w:rFonts w:hint="eastAsia"/>
        </w:rPr>
        <w:t>由于先进</w:t>
      </w:r>
      <w:r>
        <w:t>复合材料具有比钢、铝、钛高得多的比强度、比模量和耐疲劳等有点，在未来高效能的</w:t>
      </w:r>
      <w:r>
        <w:rPr>
          <w:rFonts w:hint="eastAsia"/>
        </w:rPr>
        <w:t>飞机</w:t>
      </w:r>
      <w:r>
        <w:t>结构材料中，先进复合材料将会占据越来越重要的地位，甚至完全有可能出现全</w:t>
      </w:r>
      <w:r>
        <w:rPr>
          <w:rFonts w:hint="eastAsia"/>
        </w:rPr>
        <w:t>复合</w:t>
      </w:r>
      <w:r>
        <w:t>材料结构的飞机。</w:t>
      </w:r>
    </w:p>
    <w:p>
      <w:pPr>
        <w:pStyle w:val="129"/>
      </w:pPr>
      <w:r>
        <w:drawing>
          <wp:inline distT="0" distB="0" distL="0" distR="0">
            <wp:extent cx="4926965" cy="3143250"/>
            <wp:effectExtent l="0" t="0" r="0" b="0"/>
            <wp:docPr id="31" name="图片 31" descr="C:\Users\12017\AppData\Roaming\Tencent\Users\497121372\QQ\WinTemp\RichOle\$N4RYIPPAVQ9VBZ7A6G393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12017\AppData\Roaming\Tencent\Users\497121372\QQ\WinTemp\RichOle\$N4RYIPPAVQ9VBZ7A6G393F.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4931549" cy="3146087"/>
                    </a:xfrm>
                    <a:prstGeom prst="rect">
                      <a:avLst/>
                    </a:prstGeom>
                    <a:noFill/>
                    <a:ln>
                      <a:noFill/>
                    </a:ln>
                  </pic:spPr>
                </pic:pic>
              </a:graphicData>
            </a:graphic>
          </wp:inline>
        </w:drawing>
      </w:r>
    </w:p>
    <w:p>
      <w:pPr>
        <w:pStyle w:val="137"/>
        <w:numPr>
          <w:ilvl w:val="0"/>
          <w:numId w:val="15"/>
        </w:numPr>
      </w:pPr>
      <w:r>
        <w:rPr>
          <w:rFonts w:hint="eastAsia"/>
        </w:rPr>
        <w:t>富平航空</w:t>
      </w:r>
      <w:r>
        <w:t>新材料集群</w:t>
      </w:r>
    </w:p>
    <w:p>
      <w:pPr>
        <w:pStyle w:val="126"/>
      </w:pPr>
      <w:r>
        <w:rPr>
          <w:rFonts w:hint="eastAsia"/>
        </w:rPr>
        <w:t>发展重点</w:t>
      </w:r>
    </w:p>
    <w:p>
      <w:pPr>
        <w:pStyle w:val="128"/>
      </w:pPr>
      <w:r>
        <w:rPr>
          <w:rFonts w:hint="eastAsia"/>
        </w:rPr>
        <w:t>富平县</w:t>
      </w:r>
      <w:r>
        <w:t>地处渭南市西</w:t>
      </w:r>
      <w:r>
        <w:rPr>
          <w:rFonts w:hint="eastAsia"/>
        </w:rPr>
        <w:t>南</w:t>
      </w:r>
      <w:r>
        <w:t>，</w:t>
      </w:r>
      <w:r>
        <w:rPr>
          <w:rFonts w:hint="eastAsia"/>
        </w:rPr>
        <w:t>紧邻</w:t>
      </w:r>
      <w:r>
        <w:t>西安市阎良区，</w:t>
      </w:r>
      <w:r>
        <w:rPr>
          <w:rFonts w:hint="eastAsia"/>
        </w:rPr>
        <w:t>具有</w:t>
      </w:r>
      <w:r>
        <w:t>发展航空新材料得天独厚的</w:t>
      </w:r>
      <w:r>
        <w:rPr>
          <w:rFonts w:hint="eastAsia"/>
        </w:rPr>
        <w:t>优势</w:t>
      </w:r>
      <w:r>
        <w:t>。</w:t>
      </w:r>
      <w:r>
        <w:rPr>
          <w:rFonts w:hint="eastAsia"/>
        </w:rPr>
        <w:t>渭南市依托</w:t>
      </w:r>
      <w:r>
        <w:t>省级卤阳湖现代产业综合开发区</w:t>
      </w:r>
      <w:r>
        <w:rPr>
          <w:rFonts w:hint="eastAsia"/>
        </w:rPr>
        <w:t>的</w:t>
      </w:r>
      <w:r>
        <w:t>通用航空产业</w:t>
      </w:r>
      <w:r>
        <w:rPr>
          <w:rFonts w:hint="eastAsia"/>
        </w:rPr>
        <w:t>和阎良</w:t>
      </w:r>
      <w:r>
        <w:t>航空产业科技优势，</w:t>
      </w:r>
      <w:r>
        <w:rPr>
          <w:rFonts w:hint="eastAsia"/>
        </w:rPr>
        <w:t>大力</w:t>
      </w:r>
      <w:r>
        <w:t>发展航空新材料产业</w:t>
      </w:r>
      <w:r>
        <w:rPr>
          <w:rFonts w:hint="eastAsia"/>
        </w:rPr>
        <w:t>。</w:t>
      </w:r>
    </w:p>
    <w:p>
      <w:pPr>
        <w:pStyle w:val="128"/>
      </w:pPr>
      <w:r>
        <w:rPr>
          <w:rFonts w:hint="eastAsia"/>
        </w:rPr>
        <w:t>（1）重点发展航空铝材，打造中国航材研发先进产业集群。</w:t>
      </w:r>
    </w:p>
    <w:p>
      <w:pPr>
        <w:pStyle w:val="128"/>
      </w:pPr>
      <w:r>
        <w:rPr>
          <w:rFonts w:hint="eastAsia"/>
        </w:rPr>
        <w:t>重点</w:t>
      </w:r>
      <w:r>
        <w:t>依托渭南</w:t>
      </w:r>
      <w:r>
        <w:rPr>
          <w:rFonts w:hint="eastAsia"/>
        </w:rPr>
        <w:t>蒲城</w:t>
      </w:r>
      <w:r>
        <w:t>的煤电铝优势，重点发展航天铝材，</w:t>
      </w:r>
      <w:r>
        <w:rPr>
          <w:rFonts w:hint="eastAsia"/>
        </w:rPr>
        <w:t>同时</w:t>
      </w:r>
      <w:r>
        <w:t>加大其他</w:t>
      </w:r>
      <w:r>
        <w:rPr>
          <w:rFonts w:hint="eastAsia"/>
        </w:rPr>
        <w:t>结构钢</w:t>
      </w:r>
      <w:r>
        <w:t>、钛合金、先进复合材料等航空材料的研发</w:t>
      </w:r>
      <w:r>
        <w:rPr>
          <w:rFonts w:hint="eastAsia"/>
        </w:rPr>
        <w:t>和</w:t>
      </w:r>
      <w:r>
        <w:t>技术应用</w:t>
      </w:r>
      <w:r>
        <w:rPr>
          <w:rFonts w:hint="eastAsia"/>
        </w:rPr>
        <w:t>。</w:t>
      </w:r>
    </w:p>
    <w:p>
      <w:pPr>
        <w:pStyle w:val="128"/>
      </w:pPr>
      <w:r>
        <w:rPr>
          <w:rFonts w:hint="eastAsia"/>
        </w:rPr>
        <w:t>（2）打造集航材研发、航材加工和航材检测的全产业链。</w:t>
      </w:r>
    </w:p>
    <w:p>
      <w:pPr>
        <w:pStyle w:val="128"/>
      </w:pPr>
      <w:r>
        <w:drawing>
          <wp:anchor distT="0" distB="0" distL="114300" distR="114300" simplePos="0" relativeHeight="251657216" behindDoc="0" locked="0" layoutInCell="1" allowOverlap="1">
            <wp:simplePos x="0" y="0"/>
            <wp:positionH relativeFrom="column">
              <wp:posOffset>3613150</wp:posOffset>
            </wp:positionH>
            <wp:positionV relativeFrom="paragraph">
              <wp:posOffset>81915</wp:posOffset>
            </wp:positionV>
            <wp:extent cx="1821815" cy="1482725"/>
            <wp:effectExtent l="0" t="0" r="0" b="0"/>
            <wp:wrapSquare wrapText="bothSides"/>
            <wp:docPr id="236" name="图示 2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anchor>
        </w:drawing>
      </w:r>
      <w:r>
        <w:rPr>
          <w:rFonts w:hint="eastAsia"/>
        </w:rPr>
        <w:t>航空</w:t>
      </w:r>
      <w:r>
        <w:t>新材料产业发展从</w:t>
      </w:r>
      <w:r>
        <w:rPr>
          <w:rFonts w:hint="eastAsia"/>
        </w:rPr>
        <w:t>三个</w:t>
      </w:r>
      <w:r>
        <w:t>方面着手：一是加大对材料</w:t>
      </w:r>
      <w:r>
        <w:rPr>
          <w:rFonts w:hint="eastAsia"/>
        </w:rPr>
        <w:t>科学</w:t>
      </w:r>
      <w:r>
        <w:t>理论的研发，</w:t>
      </w:r>
      <w:r>
        <w:rPr>
          <w:rFonts w:hint="eastAsia"/>
        </w:rPr>
        <w:t>渭南市</w:t>
      </w:r>
      <w:r>
        <w:t>应依托高新</w:t>
      </w:r>
      <w:r>
        <w:rPr>
          <w:rFonts w:hint="eastAsia"/>
        </w:rPr>
        <w:t>技术</w:t>
      </w:r>
      <w:r>
        <w:t>产业基地，大力开展航空</w:t>
      </w:r>
      <w:r>
        <w:rPr>
          <w:rFonts w:hint="eastAsia"/>
        </w:rPr>
        <w:t>新材料</w:t>
      </w:r>
      <w:r>
        <w:t>的研发工作，</w:t>
      </w:r>
      <w:r>
        <w:rPr>
          <w:rFonts w:hint="eastAsia"/>
        </w:rPr>
        <w:t>尤其</w:t>
      </w:r>
      <w:r>
        <w:t>是对使用较多的铝合金和极具发展潜力的先进复合材料的研发投入</w:t>
      </w:r>
      <w:r>
        <w:rPr>
          <w:rFonts w:hint="eastAsia"/>
        </w:rPr>
        <w:t>；二</w:t>
      </w:r>
      <w:r>
        <w:t>是</w:t>
      </w:r>
      <w:r>
        <w:rPr>
          <w:rFonts w:hint="eastAsia"/>
        </w:rPr>
        <w:t>逐步</w:t>
      </w:r>
      <w:r>
        <w:t>提升材料加工业的工艺进展，</w:t>
      </w:r>
      <w:r>
        <w:rPr>
          <w:rFonts w:hint="eastAsia"/>
        </w:rPr>
        <w:t>发展</w:t>
      </w:r>
      <w:r>
        <w:t>航空材料制造技术</w:t>
      </w:r>
      <w:r>
        <w:rPr>
          <w:rFonts w:hint="eastAsia"/>
        </w:rPr>
        <w:t>，</w:t>
      </w:r>
      <w:r>
        <w:t>从而使新的材料发现能够投入到</w:t>
      </w:r>
      <w:r>
        <w:rPr>
          <w:rFonts w:hint="eastAsia"/>
        </w:rPr>
        <w:t>实际</w:t>
      </w:r>
      <w:r>
        <w:t>应用中</w:t>
      </w:r>
      <w:r>
        <w:rPr>
          <w:rFonts w:hint="eastAsia"/>
        </w:rPr>
        <w:t>；三是</w:t>
      </w:r>
      <w:r>
        <w:t>发展材料性能测试与无损检测技术，</w:t>
      </w:r>
      <w:r>
        <w:rPr>
          <w:rFonts w:hint="eastAsia"/>
        </w:rPr>
        <w:t>材料性能</w:t>
      </w:r>
      <w:r>
        <w:t>测试与无损检测技术正在提供原来越多的、更为精细的信息，为飞行器的设计提供更接近于实际使用条件的材料性能数据，</w:t>
      </w:r>
      <w:r>
        <w:rPr>
          <w:rFonts w:hint="eastAsia"/>
        </w:rPr>
        <w:t>为</w:t>
      </w:r>
      <w:r>
        <w:t>生产提供保证产品质量的检测手段。</w:t>
      </w:r>
    </w:p>
    <w:p>
      <w:pPr>
        <w:pStyle w:val="125"/>
      </w:pPr>
      <w:bookmarkStart w:id="102" w:name="_Toc12406"/>
      <w:r>
        <w:t>高新区3D打印专用特色新材料产业集群</w:t>
      </w:r>
      <w:bookmarkEnd w:id="102"/>
    </w:p>
    <w:p>
      <w:pPr>
        <w:pStyle w:val="126"/>
      </w:pPr>
      <w:r>
        <w:rPr>
          <w:rFonts w:hint="eastAsia"/>
        </w:rPr>
        <w:t>3D打印技术发展</w:t>
      </w:r>
      <w:r>
        <w:t>情况</w:t>
      </w:r>
    </w:p>
    <w:p>
      <w:pPr>
        <w:pStyle w:val="127"/>
      </w:pPr>
      <w:r>
        <w:rPr>
          <w:rFonts w:hint="eastAsia"/>
        </w:rPr>
        <w:t>3D打印</w:t>
      </w:r>
      <w:r>
        <w:t>技术分类</w:t>
      </w:r>
    </w:p>
    <w:p>
      <w:pPr>
        <w:pStyle w:val="128"/>
      </w:pPr>
      <w:r>
        <w:rPr>
          <w:rFonts w:hint="eastAsia"/>
        </w:rPr>
        <w:t>3D打印技术起源于美国的快速成型技术。基本原理为：数字分层-物理层积，即首先对被打印对象建立数字模型并进行数字分层，获得每层的二维加工路径或轨迹，然后选择合适的材料及相应的工艺方式，在上述获得的每层、二维数字路径驱动下，逐层打印，并最终累积制造出被打印的对象。与传统切削加工方式的“减材制造”方式相比，3D打印是一种成长式的加工方式，大大提高了材料利用率，国内称之为“增材制造”。为一种综合性应用技术，</w:t>
      </w:r>
      <w:r>
        <w:t>3D</w:t>
      </w:r>
      <w:r>
        <w:rPr>
          <w:rFonts w:hint="eastAsia"/>
        </w:rPr>
        <w:t>打印综合了数字建模技术、机电控制技术、信息技术、材料科学与化学等诸多方面的前沿技术知识，具有很高的科技含量。</w:t>
      </w:r>
      <w:r>
        <w:t>3D</w:t>
      </w:r>
      <w:r>
        <w:rPr>
          <w:rFonts w:hint="eastAsia"/>
        </w:rPr>
        <w:t>打印机是</w:t>
      </w:r>
      <w:r>
        <w:t>3D</w:t>
      </w:r>
      <w:r>
        <w:rPr>
          <w:rFonts w:hint="eastAsia"/>
        </w:rPr>
        <w:t>打印的核心装备。它是集机械、控制及计算机技术等为一体的复杂机电一体化系统，主要由高精度机械系统、数控系统、喷射系统和成型环境等子系统组成。此外，新型打印材料、打印工艺、设计与控制软件等也是</w:t>
      </w:r>
      <w:r>
        <w:t>3D</w:t>
      </w:r>
      <w:r>
        <w:rPr>
          <w:rFonts w:hint="eastAsia"/>
        </w:rPr>
        <w:t>打印技术体系的重要组成部分。</w:t>
      </w:r>
    </w:p>
    <w:p>
      <w:pPr>
        <w:pStyle w:val="128"/>
      </w:pPr>
      <w:r>
        <w:rPr>
          <w:rFonts w:hint="eastAsia"/>
        </w:rPr>
        <w:t>目前，</w:t>
      </w:r>
      <w:r>
        <w:t>3D</w:t>
      </w:r>
      <w:r>
        <w:rPr>
          <w:rFonts w:hint="eastAsia"/>
        </w:rPr>
        <w:t>打印技术主要被应用于产品原型、模具制造以及艺术创作、珠宝制作等领域，替代这些领域传统依赖的精细加工工艺。</w:t>
      </w:r>
      <w:r>
        <w:t>3D</w:t>
      </w:r>
      <w:r>
        <w:rPr>
          <w:rFonts w:hint="eastAsia"/>
        </w:rPr>
        <w:t>打印可以在很大程度上提升制作的效率和精密程度。除此之外，在生物工程与医学、建筑、服装等领域，</w:t>
      </w:r>
      <w:r>
        <w:t>3D</w:t>
      </w:r>
      <w:r>
        <w:rPr>
          <w:rFonts w:hint="eastAsia"/>
        </w:rPr>
        <w:t>打印技术的引入也为创新开拓了广阔的空间。如</w:t>
      </w:r>
      <w:r>
        <w:t>2010</w:t>
      </w:r>
      <w:r>
        <w:rPr>
          <w:rFonts w:hint="eastAsia"/>
        </w:rPr>
        <w:t>年澳大利亚</w:t>
      </w:r>
      <w:r>
        <w:t>Invetech</w:t>
      </w:r>
      <w:r>
        <w:rPr>
          <w:rFonts w:hint="eastAsia"/>
        </w:rPr>
        <w:t>公司和美国</w:t>
      </w:r>
      <w:r>
        <w:t>Organovo</w:t>
      </w:r>
      <w:r>
        <w:rPr>
          <w:rFonts w:hint="eastAsia"/>
        </w:rPr>
        <w:t>公司合作，尝试以活体细胞为“墨水”打印人体的组织和器官，是医学领域具有重大意义的创新。</w:t>
      </w:r>
    </w:p>
    <w:p>
      <w:pPr>
        <w:pStyle w:val="128"/>
      </w:pPr>
      <w:r>
        <w:rPr>
          <w:rFonts w:hint="eastAsia"/>
        </w:rPr>
        <w:t>目前，国内外3D打印领域中已有近20种不同的工艺系统，目前</w:t>
      </w:r>
      <w:r>
        <w:t>较为</w:t>
      </w:r>
      <w:r>
        <w:rPr>
          <w:rFonts w:hint="eastAsia"/>
        </w:rPr>
        <w:t>常见</w:t>
      </w:r>
      <w:r>
        <w:t>的工艺有</w:t>
      </w:r>
      <w:r>
        <w:rPr>
          <w:rFonts w:hint="eastAsia"/>
        </w:rPr>
        <w:t>七种</w:t>
      </w:r>
      <w:r>
        <w:t>，</w:t>
      </w:r>
      <w:r>
        <w:rPr>
          <w:rFonts w:hint="eastAsia"/>
        </w:rPr>
        <w:t>根据</w:t>
      </w:r>
      <w:r>
        <w:t>3D</w:t>
      </w:r>
      <w:r>
        <w:rPr>
          <w:rFonts w:hint="eastAsia"/>
        </w:rPr>
        <w:t>打印所用材料的状态及成形方法，分为熔融沉积成形</w:t>
      </w:r>
      <w:r>
        <w:t>(Fused Deposition Modeling</w:t>
      </w:r>
      <w:r>
        <w:rPr>
          <w:rFonts w:hint="eastAsia"/>
        </w:rPr>
        <w:t>，</w:t>
      </w:r>
      <w:r>
        <w:t>FDM)</w:t>
      </w:r>
      <w:r>
        <w:rPr>
          <w:rFonts w:hint="eastAsia"/>
        </w:rPr>
        <w:t>、光固化立体成形</w:t>
      </w:r>
      <w:r>
        <w:t>(Stereo Lithography Apparatus</w:t>
      </w:r>
      <w:r>
        <w:rPr>
          <w:rFonts w:hint="eastAsia"/>
        </w:rPr>
        <w:t>，</w:t>
      </w:r>
      <w:r>
        <w:t>SLA)</w:t>
      </w:r>
      <w:r>
        <w:rPr>
          <w:rFonts w:hint="eastAsia"/>
        </w:rPr>
        <w:t>、分层实体制造</w:t>
      </w:r>
      <w:r>
        <w:t>(Laminated Object Manufacturing</w:t>
      </w:r>
      <w:r>
        <w:rPr>
          <w:rFonts w:hint="eastAsia"/>
        </w:rPr>
        <w:t>，</w:t>
      </w:r>
      <w:r>
        <w:t>LOM)</w:t>
      </w:r>
      <w:r>
        <w:rPr>
          <w:rFonts w:hint="eastAsia"/>
        </w:rPr>
        <w:t>、电子束选区熔化</w:t>
      </w:r>
      <w:r>
        <w:t>(Electron Beam Melting</w:t>
      </w:r>
      <w:r>
        <w:rPr>
          <w:rFonts w:hint="eastAsia"/>
        </w:rPr>
        <w:t>，</w:t>
      </w:r>
      <w:r>
        <w:t>EBM)</w:t>
      </w:r>
      <w:r>
        <w:rPr>
          <w:rFonts w:hint="eastAsia"/>
        </w:rPr>
        <w:t>、激光选区熔化</w:t>
      </w:r>
      <w:r>
        <w:t>(Selective Laser Melting</w:t>
      </w:r>
      <w:r>
        <w:rPr>
          <w:rFonts w:hint="eastAsia"/>
        </w:rPr>
        <w:t>，</w:t>
      </w:r>
      <w:r>
        <w:t>SLM)</w:t>
      </w:r>
      <w:r>
        <w:rPr>
          <w:rFonts w:hint="eastAsia"/>
        </w:rPr>
        <w:t>、金属激光熔融沉积</w:t>
      </w:r>
      <w:r>
        <w:t>(Laser Direct Melting Deposition</w:t>
      </w:r>
      <w:r>
        <w:rPr>
          <w:rFonts w:hint="eastAsia"/>
        </w:rPr>
        <w:t>，</w:t>
      </w:r>
      <w:r>
        <w:t>LDMD)</w:t>
      </w:r>
      <w:r>
        <w:rPr>
          <w:rFonts w:hint="eastAsia"/>
        </w:rPr>
        <w:t>、电子束熔丝沉积成形</w:t>
      </w:r>
      <w:r>
        <w:t>(Electron Beam Freeform Fabrication</w:t>
      </w:r>
      <w:r>
        <w:rPr>
          <w:rFonts w:hint="eastAsia"/>
        </w:rPr>
        <w:t>，</w:t>
      </w:r>
      <w:r>
        <w:t>EBF)</w:t>
      </w:r>
      <w:r>
        <w:rPr>
          <w:rFonts w:hint="eastAsia"/>
        </w:rPr>
        <w:t>。不同的</w:t>
      </w:r>
      <w:r>
        <w:t>工艺根据自己的特点应用在不用领域。</w:t>
      </w:r>
    </w:p>
    <w:p>
      <w:pPr>
        <w:pStyle w:val="128"/>
      </w:pPr>
      <w:r>
        <w:rPr>
          <w:rFonts w:hint="eastAsia"/>
        </w:rPr>
        <w:t>（1）熔融沉积成形</w:t>
      </w:r>
      <w:r>
        <w:t>(FDM)</w:t>
      </w:r>
    </w:p>
    <w:p>
      <w:pPr>
        <w:pStyle w:val="128"/>
      </w:pPr>
      <w:r>
        <w:rPr>
          <w:rFonts w:hint="eastAsia"/>
        </w:rPr>
        <w:t>熔融沉积成形技术</w:t>
      </w:r>
      <w:r>
        <w:t>(FDM)</w:t>
      </w:r>
      <w:r>
        <w:rPr>
          <w:rFonts w:hint="eastAsia"/>
        </w:rPr>
        <w:t>技术是以丝状的</w:t>
      </w:r>
      <w:r>
        <w:t>PLA</w:t>
      </w:r>
      <w:r>
        <w:rPr>
          <w:rFonts w:hint="eastAsia"/>
        </w:rPr>
        <w:t>、</w:t>
      </w:r>
      <w:r>
        <w:t>ABS</w:t>
      </w:r>
      <w:r>
        <w:rPr>
          <w:rFonts w:hint="eastAsia"/>
        </w:rPr>
        <w:t>等热塑性材料为原料，通过加工头的加热挤压，在计算机的控制下逐层堆积，最终得到成形的立体零件。这种技术是目前最常见的</w:t>
      </w:r>
      <w:r>
        <w:t>3D</w:t>
      </w:r>
      <w:r>
        <w:rPr>
          <w:rFonts w:hint="eastAsia"/>
        </w:rPr>
        <w:t>打印技术，技术成熟度高，成本较低，可以进行彩色打印。</w:t>
      </w:r>
    </w:p>
    <w:p>
      <w:pPr>
        <w:pStyle w:val="128"/>
      </w:pPr>
      <w:r>
        <w:rPr>
          <w:rFonts w:hint="eastAsia"/>
        </w:rPr>
        <w:t>（2）光固化立体成形</w:t>
      </w:r>
      <w:r>
        <w:t>(SLA)</w:t>
      </w:r>
    </w:p>
    <w:p>
      <w:pPr>
        <w:pStyle w:val="128"/>
      </w:pPr>
      <w:r>
        <w:rPr>
          <w:rFonts w:hint="eastAsia"/>
        </w:rPr>
        <w:t>光固化立体成形技术</w:t>
      </w:r>
      <w:r>
        <w:t>(SLA)</w:t>
      </w:r>
      <w:r>
        <w:rPr>
          <w:rFonts w:hint="eastAsia"/>
        </w:rPr>
        <w:t>是利用紫外激光逐层扫描液态的光敏聚合物</w:t>
      </w:r>
      <w:r>
        <w:t>(</w:t>
      </w:r>
      <w:r>
        <w:rPr>
          <w:rFonts w:hint="eastAsia"/>
        </w:rPr>
        <w:t>如丙稀酸树脂、环氧树脂等</w:t>
      </w:r>
      <w:r>
        <w:t>)</w:t>
      </w:r>
      <w:r>
        <w:rPr>
          <w:rFonts w:hint="eastAsia"/>
        </w:rPr>
        <w:t>，实现液态材料的固化，逐渐堆积成形的技术。这种技术可以制作结构复杂的零件，零件精度以及材料的利用率高，缺点是能用于成形的材料种类少，工艺成本高。</w:t>
      </w:r>
    </w:p>
    <w:p>
      <w:pPr>
        <w:pStyle w:val="128"/>
      </w:pPr>
      <w:r>
        <w:rPr>
          <w:rFonts w:hint="eastAsia"/>
        </w:rPr>
        <w:t>（3）分层实体制造</w:t>
      </w:r>
      <w:r>
        <w:t>(LOM)</w:t>
      </w:r>
    </w:p>
    <w:p>
      <w:pPr>
        <w:pStyle w:val="128"/>
      </w:pPr>
      <w:r>
        <w:rPr>
          <w:rFonts w:hint="eastAsia"/>
        </w:rPr>
        <w:t>分层实体制造技术</w:t>
      </w:r>
      <w:r>
        <w:t>(LOM)</w:t>
      </w:r>
      <w:r>
        <w:rPr>
          <w:rFonts w:hint="eastAsia"/>
        </w:rPr>
        <w:t>以薄片材料为原料，如纸、金属箔、塑料薄膜等，在材料表面涂覆热熔胶，再根据每层截面形状进行切割粘贴，实现零件的立体成形。这种技术速度较快，可以成形大尺寸的零件，但是材料浪费严重，表面质量差。</w:t>
      </w:r>
    </w:p>
    <w:p>
      <w:pPr>
        <w:pStyle w:val="128"/>
      </w:pPr>
      <w:r>
        <w:rPr>
          <w:rFonts w:hint="eastAsia"/>
        </w:rPr>
        <w:t>（4）电子束选区熔化（</w:t>
      </w:r>
      <w:r>
        <w:t>EBM</w:t>
      </w:r>
      <w:r>
        <w:rPr>
          <w:rFonts w:hint="eastAsia"/>
        </w:rPr>
        <w:t>）</w:t>
      </w:r>
    </w:p>
    <w:p>
      <w:pPr>
        <w:pStyle w:val="128"/>
      </w:pPr>
      <w:r>
        <w:rPr>
          <w:rFonts w:hint="eastAsia"/>
        </w:rPr>
        <w:t>电子束选区熔化成形技术</w:t>
      </w:r>
      <w:r>
        <w:t>(EBM)</w:t>
      </w:r>
      <w:r>
        <w:rPr>
          <w:rFonts w:hint="eastAsia"/>
        </w:rPr>
        <w:t>是在真空环境下以电子束为热源，以金属粉末为成形材料，通过不断在粉末床上铺展金属粉末然后用电子束扫描熔化，使一个个小的熔池相互熔合并凝固，这样不断进行形成一个完整的金属零件实体。这种技术可以成形出结构复杂、性能优良的金属零件，但是成形尺寸受到粉末床和真空室的限制。</w:t>
      </w:r>
    </w:p>
    <w:p>
      <w:pPr>
        <w:pStyle w:val="128"/>
      </w:pPr>
      <w:r>
        <w:rPr>
          <w:rFonts w:hint="eastAsia"/>
        </w:rPr>
        <w:t>（5）激光选区熔化</w:t>
      </w:r>
      <w:r>
        <w:t>(SLM)</w:t>
      </w:r>
    </w:p>
    <w:p>
      <w:pPr>
        <w:pStyle w:val="128"/>
      </w:pPr>
      <w:r>
        <w:rPr>
          <w:rFonts w:hint="eastAsia"/>
        </w:rPr>
        <w:t>激光选区熔化成形技术</w:t>
      </w:r>
      <w:r>
        <w:t>(SLM)</w:t>
      </w:r>
      <w:r>
        <w:rPr>
          <w:rFonts w:hint="eastAsia"/>
        </w:rPr>
        <w:t>的原理与电子束选区熔化成形技术相似，也是一种基于粉末床的铺粉成形技术，只是热源由电子束换成了激光束，通过这种技术同样可以成形出结构复杂、性能优异、表面质量良好的金属零件，但目前这种技术无法成形出大尺寸的零件。</w:t>
      </w:r>
    </w:p>
    <w:p>
      <w:pPr>
        <w:pStyle w:val="128"/>
      </w:pPr>
      <w:r>
        <w:rPr>
          <w:rFonts w:hint="eastAsia"/>
        </w:rPr>
        <w:t>（6）金属激光熔融沉积</w:t>
      </w:r>
      <w:r>
        <w:t>(LDMD)</w:t>
      </w:r>
    </w:p>
    <w:p>
      <w:pPr>
        <w:pStyle w:val="128"/>
      </w:pPr>
      <w:r>
        <w:rPr>
          <w:rFonts w:hint="eastAsia"/>
        </w:rPr>
        <w:t>金属激光熔融沉积成形技术</w:t>
      </w:r>
      <w:r>
        <w:t>(LDMD)</w:t>
      </w:r>
      <w:r>
        <w:rPr>
          <w:rFonts w:hint="eastAsia"/>
        </w:rPr>
        <w:t>以激光束为热源，通过自动送粉装置将金属粉末同步、精确地送入激光在成形表面上所形成熔池中。随着激光斑点的移动，粉末不断地送入熔池中熔化然后凝固，最终得到所需要的形状。这种成形工艺可以成形大尺寸的金属零件，但是无法成形结构非常复杂的零件。</w:t>
      </w:r>
    </w:p>
    <w:p>
      <w:pPr>
        <w:pStyle w:val="128"/>
      </w:pPr>
      <w:r>
        <w:rPr>
          <w:rFonts w:hint="eastAsia"/>
        </w:rPr>
        <w:t>（7）电子束熔丝沉积成形</w:t>
      </w:r>
      <w:r>
        <w:t>(EBF)</w:t>
      </w:r>
    </w:p>
    <w:p>
      <w:pPr>
        <w:pStyle w:val="128"/>
      </w:pPr>
      <w:r>
        <w:rPr>
          <w:rFonts w:hint="eastAsia"/>
        </w:rPr>
        <w:t>电子束熔丝沉积成形技术又称电子束自由成形制造技术</w:t>
      </w:r>
      <w:r>
        <w:t>(EBF)</w:t>
      </w:r>
      <w:r>
        <w:rPr>
          <w:rFonts w:hint="eastAsia"/>
        </w:rPr>
        <w:t>，是在真空环境中，以电子束为热源，金属丝材为成形材料，通过送丝装置将金属丝送入熔池并按设定轨迹运动，直到制造出目标零件或毛坯。这种方法效率高，成形零件内部质量好，但是成形精度及表面质量差，且不适用于塑性较差的材料，因无法加工成丝材。</w:t>
      </w:r>
    </w:p>
    <w:p>
      <w:pPr>
        <w:pStyle w:val="127"/>
      </w:pPr>
      <w:r>
        <w:rPr>
          <w:rFonts w:hint="eastAsia"/>
        </w:rPr>
        <w:t>3D打印</w:t>
      </w:r>
      <w:r>
        <w:t>技术</w:t>
      </w:r>
      <w:r>
        <w:rPr>
          <w:rFonts w:hint="eastAsia"/>
        </w:rPr>
        <w:t>发展</w:t>
      </w:r>
      <w:r>
        <w:t>现状</w:t>
      </w:r>
      <w:r>
        <w:rPr>
          <w:rFonts w:hint="eastAsia"/>
        </w:rPr>
        <w:t>及</w:t>
      </w:r>
      <w:r>
        <w:t>发展趋势</w:t>
      </w:r>
    </w:p>
    <w:p>
      <w:pPr>
        <w:pStyle w:val="128"/>
      </w:pPr>
      <w:r>
        <w:rPr>
          <w:rFonts w:hint="eastAsia"/>
        </w:rPr>
        <w:t>3D打印技术正在快速改变传统的生产方式和生活方式，作为战略性新兴产业，美国、德国等发达国家高度重视并积极推广该技术。《中国制造2025》中多次强调要培育3D打印产业发展，并将3D打印技术列为我国未来智能制造的重点技术来大力支持。不少专家认为，以数字化、网络化、个性化、定制化为特点的3D打印技术为代表的新制造技术将推动第三次工业革命。与传统工艺相比，金属3D打印有直接成型，无需模具，可以实现个性化设计并制作复杂结构，高效、低消耗、低成本等优点，尽管仍有待完善，但3D打印技术市场潜力巨大，势必成为未来制造业的众多突破技术之一。</w:t>
      </w:r>
    </w:p>
    <w:p>
      <w:pPr>
        <w:pStyle w:val="128"/>
      </w:pPr>
      <w:r>
        <w:rPr>
          <w:rFonts w:hint="eastAsia"/>
        </w:rPr>
        <w:t>（1）国际</w:t>
      </w:r>
      <w:r>
        <w:t>发展</w:t>
      </w:r>
      <w:r>
        <w:rPr>
          <w:rFonts w:hint="eastAsia"/>
        </w:rPr>
        <w:t>情况</w:t>
      </w:r>
    </w:p>
    <w:p>
      <w:pPr>
        <w:pStyle w:val="128"/>
      </w:pPr>
      <w:r>
        <w:rPr>
          <w:rFonts w:hint="eastAsia"/>
        </w:rPr>
        <w:t>经过十多年的探索和发展，</w:t>
      </w:r>
      <w:r>
        <w:t>3D</w:t>
      </w:r>
      <w:r>
        <w:rPr>
          <w:rFonts w:hint="eastAsia"/>
        </w:rPr>
        <w:t>打印技术有了长足的进步，目前已经能够在</w:t>
      </w:r>
      <w:r>
        <w:t>0</w:t>
      </w:r>
      <w:r>
        <w:rPr>
          <w:rFonts w:hint="eastAsia"/>
        </w:rPr>
        <w:t>．</w:t>
      </w:r>
      <w:r>
        <w:t>01mm</w:t>
      </w:r>
      <w:r>
        <w:rPr>
          <w:rFonts w:hint="eastAsia"/>
        </w:rPr>
        <w:t>的单层厚度上实现</w:t>
      </w:r>
      <w:r>
        <w:t>600dpi</w:t>
      </w:r>
      <w:r>
        <w:rPr>
          <w:rFonts w:hint="eastAsia"/>
        </w:rPr>
        <w:t>的精细分辨率。目前国际上较先进的产品可以实现每小时</w:t>
      </w:r>
      <w:r>
        <w:t>25ram</w:t>
      </w:r>
      <w:r>
        <w:rPr>
          <w:rFonts w:hint="eastAsia"/>
        </w:rPr>
        <w:t>厚度的垂直速率，并可实现</w:t>
      </w:r>
      <w:r>
        <w:t>24</w:t>
      </w:r>
      <w:r>
        <w:rPr>
          <w:rFonts w:hint="eastAsia"/>
        </w:rPr>
        <w:t>位色彩的彩色打印。目前，在全球</w:t>
      </w:r>
      <w:r>
        <w:t>3D</w:t>
      </w:r>
      <w:r>
        <w:rPr>
          <w:rFonts w:hint="eastAsia"/>
        </w:rPr>
        <w:t>打印机行业，美国</w:t>
      </w:r>
      <w:r>
        <w:t>3D Systems</w:t>
      </w:r>
      <w:r>
        <w:rPr>
          <w:rFonts w:hint="eastAsia"/>
        </w:rPr>
        <w:t>和</w:t>
      </w:r>
      <w:r>
        <w:t>Stratasys</w:t>
      </w:r>
      <w:r>
        <w:rPr>
          <w:rFonts w:hint="eastAsia"/>
        </w:rPr>
        <w:t>两家公司的产品占据了绝大多数市场份额。此外，在此领域具有较强技术实力和特色的企业／研发团队还有美国的</w:t>
      </w:r>
      <w:r>
        <w:t>Fab@Home</w:t>
      </w:r>
      <w:r>
        <w:rPr>
          <w:rFonts w:hint="eastAsia"/>
        </w:rPr>
        <w:t>和</w:t>
      </w:r>
      <w:r>
        <w:t>Shapeways</w:t>
      </w:r>
      <w:r>
        <w:rPr>
          <w:rFonts w:hint="eastAsia"/>
        </w:rPr>
        <w:t>、英国的</w:t>
      </w:r>
      <w:r>
        <w:t>Reprap</w:t>
      </w:r>
      <w:r>
        <w:rPr>
          <w:rFonts w:hint="eastAsia"/>
        </w:rPr>
        <w:t>等。当前，国际</w:t>
      </w:r>
      <w:r>
        <w:t>3D</w:t>
      </w:r>
      <w:r>
        <w:rPr>
          <w:rFonts w:hint="eastAsia"/>
        </w:rPr>
        <w:t>打印机制造业正处于迅速的兼并与整合过程中，行业巨头正在加速崛起。</w:t>
      </w:r>
    </w:p>
    <w:p>
      <w:pPr>
        <w:pStyle w:val="128"/>
      </w:pPr>
      <w:r>
        <w:rPr>
          <w:rFonts w:hint="eastAsia"/>
        </w:rPr>
        <w:t>目前在欧美发达国家，</w:t>
      </w:r>
      <w:r>
        <w:t>3D</w:t>
      </w:r>
      <w:r>
        <w:rPr>
          <w:rFonts w:hint="eastAsia"/>
        </w:rPr>
        <w:t>打印技术已经初步形成了成功的商用模式。如在消费电子业、航空业和汽车制造业等领域，</w:t>
      </w:r>
      <w:r>
        <w:t>3D</w:t>
      </w:r>
      <w:r>
        <w:rPr>
          <w:rFonts w:hint="eastAsia"/>
        </w:rPr>
        <w:t>打印技术可以以较低的成本、较高的效率生产小批量的定制部件，完成复杂而精细的造型。另外，</w:t>
      </w:r>
      <w:r>
        <w:t>3D</w:t>
      </w:r>
      <w:r>
        <w:rPr>
          <w:rFonts w:hint="eastAsia"/>
        </w:rPr>
        <w:t>打印技术获得应用的领域是个性化消费品产业。如纽约一家创意消费品公司</w:t>
      </w:r>
      <w:r>
        <w:t>Quirky</w:t>
      </w:r>
      <w:r>
        <w:rPr>
          <w:rFonts w:hint="eastAsia"/>
        </w:rPr>
        <w:t>通过在线征集用户的设计方案，以</w:t>
      </w:r>
      <w:r>
        <w:t>3D</w:t>
      </w:r>
      <w:r>
        <w:rPr>
          <w:rFonts w:hint="eastAsia"/>
        </w:rPr>
        <w:t>打印技术制成实物产品并通过电子市场销售，每年能够推出</w:t>
      </w:r>
      <w:r>
        <w:t>60</w:t>
      </w:r>
      <w:r>
        <w:rPr>
          <w:rFonts w:hint="eastAsia"/>
        </w:rPr>
        <w:t>种创新产品，年收入达到</w:t>
      </w:r>
      <w:r>
        <w:t>100</w:t>
      </w:r>
      <w:r>
        <w:rPr>
          <w:rFonts w:hint="eastAsia"/>
        </w:rPr>
        <w:t>万美元。</w:t>
      </w:r>
    </w:p>
    <w:p>
      <w:pPr>
        <w:pStyle w:val="128"/>
      </w:pPr>
      <w:r>
        <w:rPr>
          <w:rFonts w:hint="eastAsia"/>
        </w:rPr>
        <w:t>（2）国内</w:t>
      </w:r>
      <w:r>
        <w:t>发展情况</w:t>
      </w:r>
    </w:p>
    <w:p>
      <w:pPr>
        <w:pStyle w:val="128"/>
      </w:pPr>
      <w:r>
        <w:rPr>
          <w:rFonts w:hint="eastAsia"/>
        </w:rPr>
        <w:t>自</w:t>
      </w:r>
      <w:r>
        <w:t>20</w:t>
      </w:r>
      <w:r>
        <w:rPr>
          <w:rFonts w:hint="eastAsia"/>
        </w:rPr>
        <w:t>世纪</w:t>
      </w:r>
      <w:r>
        <w:t>90</w:t>
      </w:r>
      <w:r>
        <w:rPr>
          <w:rFonts w:hint="eastAsia"/>
        </w:rPr>
        <w:t>年代以来，国内多所高校开展了</w:t>
      </w:r>
      <w:r>
        <w:t>3D</w:t>
      </w:r>
      <w:r>
        <w:rPr>
          <w:rFonts w:hint="eastAsia"/>
        </w:rPr>
        <w:t>打印技术的自主研发。清华大学在现代成型学理论、分层实体制造、</w:t>
      </w:r>
      <w:r>
        <w:t>FDM</w:t>
      </w:r>
      <w:r>
        <w:rPr>
          <w:rFonts w:hint="eastAsia"/>
        </w:rPr>
        <w:t>工艺等方面都有一定的科研优势；华中科技大学在分层实体制造工艺方面有优势，并已推出了</w:t>
      </w:r>
      <w:r>
        <w:t>HRP</w:t>
      </w:r>
      <w:r>
        <w:rPr>
          <w:rFonts w:hint="eastAsia"/>
        </w:rPr>
        <w:t>系列成型机和成型材料：西安交通大学自主研制了三维打印机喷头，并开发了光固化成型系统及相应成型材料，成型精度达到</w:t>
      </w:r>
      <w:r>
        <w:t>0</w:t>
      </w:r>
      <w:r>
        <w:rPr>
          <w:rFonts w:hint="eastAsia"/>
        </w:rPr>
        <w:t>.</w:t>
      </w:r>
      <w:r>
        <w:t>2mm</w:t>
      </w:r>
      <w:r>
        <w:rPr>
          <w:rFonts w:hint="eastAsia"/>
        </w:rPr>
        <w:t>；中国科技大学自行研制了八喷头组合喷射装置，有望在微制造、光电器件领域得到应用。但总体而言，国内</w:t>
      </w:r>
      <w:r>
        <w:t>3D</w:t>
      </w:r>
      <w:r>
        <w:rPr>
          <w:rFonts w:hint="eastAsia"/>
        </w:rPr>
        <w:t>打印技术研发水平与国外相比还有较大差距。</w:t>
      </w:r>
    </w:p>
    <w:p>
      <w:pPr>
        <w:pStyle w:val="128"/>
      </w:pPr>
      <w:r>
        <w:rPr>
          <w:rFonts w:hint="eastAsia"/>
        </w:rPr>
        <w:t>近年来，国内如深圳维示泰克、南京紫金立德、北京殷华、江苏敦超等企业已实现了</w:t>
      </w:r>
      <w:r>
        <w:t>3D</w:t>
      </w:r>
      <w:r>
        <w:rPr>
          <w:rFonts w:hint="eastAsia"/>
        </w:rPr>
        <w:t>打印机的整机生产和销售，这些企业共同的特点是由海外归国团队建立，规模较小，产品技术与国外厂商同类产品相比尚处于低端。目前，国产</w:t>
      </w:r>
      <w:r>
        <w:t>3D</w:t>
      </w:r>
      <w:r>
        <w:rPr>
          <w:rFonts w:hint="eastAsia"/>
        </w:rPr>
        <w:t>打印机在打印精度、打印速度、打印尺寸和软件支持等方面还难以满足商用的需求，技术水平有待进一步提升。在服务领域，我国东部发达城市已普遍有企业应用进口</w:t>
      </w:r>
      <w:r>
        <w:t>3D</w:t>
      </w:r>
      <w:r>
        <w:rPr>
          <w:rFonts w:hint="eastAsia"/>
        </w:rPr>
        <w:t>打印设备开展了商业化的快速成型服务，其服务范围涉及到模具制作、样品制作、辅助设计、文物复原等多个领域。与内地相比，我国港台地区</w:t>
      </w:r>
      <w:r>
        <w:t>3D</w:t>
      </w:r>
      <w:r>
        <w:rPr>
          <w:rFonts w:hint="eastAsia"/>
        </w:rPr>
        <w:t>打印技术引入起步较早，应用更为广泛，但港台主要着重于技术应用，而非自主研发。</w:t>
      </w:r>
    </w:p>
    <w:p>
      <w:pPr>
        <w:pStyle w:val="128"/>
      </w:pPr>
      <w:r>
        <w:rPr>
          <w:rFonts w:hint="eastAsia"/>
        </w:rPr>
        <w:t>（3）目前</w:t>
      </w:r>
      <w:r>
        <w:t>存在的瓶颈和挑战</w:t>
      </w:r>
    </w:p>
    <w:p>
      <w:pPr>
        <w:pStyle w:val="128"/>
      </w:pPr>
      <w:r>
        <w:t>3D</w:t>
      </w:r>
      <w:r>
        <w:rPr>
          <w:rFonts w:hint="eastAsia"/>
        </w:rPr>
        <w:t>打印技术要进一步扩展其产业应用空间，目前仍面临着多方面的瓶颈和挑战：一是成本方面，现有</w:t>
      </w:r>
      <w:r>
        <w:t>3D</w:t>
      </w:r>
      <w:r>
        <w:rPr>
          <w:rFonts w:hint="eastAsia"/>
        </w:rPr>
        <w:t>打印机造价仍普遍较为昂贵，给其进一步普及应用带来了困难。二是打印材料方面，目前</w:t>
      </w:r>
      <w:r>
        <w:t>3D</w:t>
      </w:r>
      <w:r>
        <w:rPr>
          <w:rFonts w:hint="eastAsia"/>
        </w:rPr>
        <w:t>打印的成型材料多采用化学聚合物，选择的局限性较大，成型品的物理特性较差，而且安全方面也存在一定隐患。三是精度、速度和效率方面，目前</w:t>
      </w:r>
      <w:r>
        <w:t>3D</w:t>
      </w:r>
      <w:r>
        <w:rPr>
          <w:rFonts w:hint="eastAsia"/>
        </w:rPr>
        <w:t>打印成品的精度还不尽人意，打印效率还远不适应大规模生产的需求，而且受打印机工作原理的限制，打印精度与速度之间存在严重冲突。四是产业环境方面，</w:t>
      </w:r>
      <w:r>
        <w:t>3D</w:t>
      </w:r>
      <w:r>
        <w:rPr>
          <w:rFonts w:hint="eastAsia"/>
        </w:rPr>
        <w:t>打印技术的普及将使产品更容易被复制和扩散，制造业面对的盗版风险大增，现有知识产权保护机制难以适应产业未来发展的需求。</w:t>
      </w:r>
    </w:p>
    <w:p>
      <w:pPr>
        <w:pStyle w:val="128"/>
      </w:pPr>
      <w:r>
        <w:t>Gartner</w:t>
      </w:r>
      <w:r>
        <w:rPr>
          <w:rFonts w:hint="eastAsia"/>
        </w:rPr>
        <w:t>公司</w:t>
      </w:r>
      <w:r>
        <w:t>2011</w:t>
      </w:r>
      <w:r>
        <w:rPr>
          <w:rFonts w:hint="eastAsia"/>
        </w:rPr>
        <w:t>年发布的最新技术发展展望报告判断：</w:t>
      </w:r>
      <w:r>
        <w:t>3D</w:t>
      </w:r>
      <w:r>
        <w:rPr>
          <w:rFonts w:hint="eastAsia"/>
        </w:rPr>
        <w:t>打印技术目前正在进入概念炒作的高峰阶段，其技术还有待充分成熟，主流市场也有待进一步培育。</w:t>
      </w:r>
      <w:r>
        <w:t>Gartner</w:t>
      </w:r>
      <w:r>
        <w:rPr>
          <w:rFonts w:hint="eastAsia"/>
        </w:rPr>
        <w:t>公司研究人员认为，</w:t>
      </w:r>
      <w:r>
        <w:t>3D</w:t>
      </w:r>
      <w:r>
        <w:rPr>
          <w:rFonts w:hint="eastAsia"/>
        </w:rPr>
        <w:t>打印技术成熟到适应市场需求还将需要</w:t>
      </w:r>
      <w:r>
        <w:t>5</w:t>
      </w:r>
      <w:r>
        <w:rPr>
          <w:rFonts w:hint="eastAsia"/>
        </w:rPr>
        <w:t>～</w:t>
      </w:r>
      <w:r>
        <w:t>10</w:t>
      </w:r>
      <w:r>
        <w:rPr>
          <w:rFonts w:hint="eastAsia"/>
        </w:rPr>
        <w:t>年的时间。在这一较为漫长的发展过程中，产业可能会面临增长期望落空、技术遭遇瓶颈以及投资撤离等风险。从中长期看来</w:t>
      </w:r>
      <w:r>
        <w:t>3D</w:t>
      </w:r>
      <w:r>
        <w:rPr>
          <w:rFonts w:hint="eastAsia"/>
        </w:rPr>
        <w:t>打印产业具有较为广阔的发展前景，但目前产业距离成熟阶段尚有较大距离，对于</w:t>
      </w:r>
      <w:r>
        <w:t>3D</w:t>
      </w:r>
      <w:r>
        <w:rPr>
          <w:rFonts w:hint="eastAsia"/>
        </w:rPr>
        <w:t>打印市场规模的短期发展不宜过分高估。因此，现阶段产业界对</w:t>
      </w:r>
      <w:r>
        <w:t>3D</w:t>
      </w:r>
      <w:r>
        <w:rPr>
          <w:rFonts w:hint="eastAsia"/>
        </w:rPr>
        <w:t>打印领域的投入应以加强创新研发、技术引进和储备为主，尤其要重视自主知识产权的建设和维护，争取在未来的市场竞争中占据有利地位。</w:t>
      </w:r>
    </w:p>
    <w:p>
      <w:pPr>
        <w:pStyle w:val="128"/>
      </w:pPr>
      <w:r>
        <w:rPr>
          <w:rFonts w:hint="eastAsia"/>
        </w:rPr>
        <w:t>（4）未来</w:t>
      </w:r>
      <w:r>
        <w:t>发展的主要趋势</w:t>
      </w:r>
    </w:p>
    <w:p>
      <w:pPr>
        <w:pStyle w:val="128"/>
      </w:pPr>
      <w:r>
        <w:rPr>
          <w:rFonts w:hint="eastAsia"/>
        </w:rPr>
        <w:t>随着智能制造的进一步发展成熟，新的信息技术、控制技术、材料技术等不断被广泛应用到制造领域，</w:t>
      </w:r>
      <w:r>
        <w:t>3D</w:t>
      </w:r>
      <w:r>
        <w:rPr>
          <w:rFonts w:hint="eastAsia"/>
        </w:rPr>
        <w:t>打印技术也将被推向更高的层面。未来，</w:t>
      </w:r>
      <w:r>
        <w:t>3D</w:t>
      </w:r>
      <w:r>
        <w:rPr>
          <w:rFonts w:hint="eastAsia"/>
        </w:rPr>
        <w:t>打印技术的发展将体现出精密化、智能化、通用化以及便捷化等主要趋势。</w:t>
      </w:r>
    </w:p>
    <w:p>
      <w:pPr>
        <w:pStyle w:val="128"/>
      </w:pPr>
      <w:r>
        <w:rPr>
          <w:rFonts w:hint="eastAsia"/>
        </w:rPr>
        <w:t>提升</w:t>
      </w:r>
      <w:r>
        <w:t>3D</w:t>
      </w:r>
      <w:r>
        <w:rPr>
          <w:rFonts w:hint="eastAsia"/>
        </w:rPr>
        <w:t>打印的速度、效率和精度，开拓并行打印、连续打印、大件打印、多材料打印的工艺方法，提高成品的表面质量、力学和物理性能，以实现直接面向产品的制造；开发更为多样的</w:t>
      </w:r>
      <w:r>
        <w:t>3D</w:t>
      </w:r>
      <w:r>
        <w:rPr>
          <w:rFonts w:hint="eastAsia"/>
        </w:rPr>
        <w:t>打印材料，如智能材料、功能梯度材料、纳米材料、非均质材料及复合材料等，特别是金属材料直接成型技术有可能成为今后研究与应用的又一个热点；</w:t>
      </w:r>
      <w:r>
        <w:t>3D</w:t>
      </w:r>
      <w:r>
        <w:rPr>
          <w:rFonts w:hint="eastAsia"/>
        </w:rPr>
        <w:t>打印机的体积小型化、桌面化，成本更低廉，操作更简便，更加适应分布化生产、设计与制造一体化的需求以及家庭日常应用的需求；软件集成化，实现</w:t>
      </w:r>
      <w:r>
        <w:t>CAD</w:t>
      </w:r>
      <w:r>
        <w:rPr>
          <w:rFonts w:hint="eastAsia"/>
        </w:rPr>
        <w:t>／</w:t>
      </w:r>
      <w:r>
        <w:t>CAPP</w:t>
      </w:r>
      <w:r>
        <w:rPr>
          <w:rFonts w:hint="eastAsia"/>
        </w:rPr>
        <w:t>／</w:t>
      </w:r>
      <w:r>
        <w:t>RP</w:t>
      </w:r>
      <w:r>
        <w:rPr>
          <w:rFonts w:hint="eastAsia"/>
        </w:rPr>
        <w:t>的一体化，使设计软件和生产控制软件能够无缝对接，实现设计者直接联网控制的远程在线制造；拓展</w:t>
      </w:r>
      <w:r>
        <w:t>3D</w:t>
      </w:r>
      <w:r>
        <w:rPr>
          <w:rFonts w:hint="eastAsia"/>
        </w:rPr>
        <w:t>打印技术在生物医学、建筑、车辆、服装等更多行业领域的创造性应用。</w:t>
      </w:r>
    </w:p>
    <w:p>
      <w:pPr>
        <w:pStyle w:val="128"/>
      </w:pPr>
      <w:r>
        <w:rPr>
          <w:rFonts w:hint="eastAsia"/>
        </w:rPr>
        <w:t>目前</w:t>
      </w:r>
      <w:r>
        <w:t>，3D</w:t>
      </w:r>
      <w:r>
        <w:rPr>
          <w:rFonts w:hint="eastAsia"/>
        </w:rPr>
        <w:t>打印领域内打印工艺系统广泛使用的打印材料，从形态上主要包含四种：液态光敏树脂材料、薄材</w:t>
      </w:r>
      <w:r>
        <w:t>(</w:t>
      </w:r>
      <w:r>
        <w:rPr>
          <w:rFonts w:hint="eastAsia"/>
        </w:rPr>
        <w:t>纸张、塑料膜</w:t>
      </w:r>
      <w:r>
        <w:t>)</w:t>
      </w:r>
      <w:r>
        <w:rPr>
          <w:rFonts w:hint="eastAsia"/>
        </w:rPr>
        <w:t>、低熔点丝材和粉末材料；从成分上则几乎涵盖了目前生产生活中的各类材料包括塑料、树脂、蜡等高分子材料、金属和合金材料、陶瓷材料等。</w:t>
      </w:r>
    </w:p>
    <w:p>
      <w:pPr>
        <w:pStyle w:val="128"/>
      </w:pPr>
      <w:r>
        <w:rPr>
          <w:rFonts w:hint="eastAsia"/>
        </w:rPr>
        <w:t>从</w:t>
      </w:r>
      <w:r>
        <w:t>3D</w:t>
      </w:r>
      <w:r>
        <w:rPr>
          <w:rFonts w:hint="eastAsia"/>
        </w:rPr>
        <w:t>打印的特点出发，结合各种应用要求，发展全新的打印材料，特别是纳米材料、非均质材料、其他方法难以制作的复合材料、直接打印制作高致密金属零件的合金材料、功能梯度材料、生物材料等将是</w:t>
      </w:r>
      <w:r>
        <w:t>3D</w:t>
      </w:r>
      <w:r>
        <w:rPr>
          <w:rFonts w:hint="eastAsia"/>
        </w:rPr>
        <w:t>打印材料不断提高质量的发展方向；另外，推进</w:t>
      </w:r>
      <w:r>
        <w:t>3D</w:t>
      </w:r>
      <w:r>
        <w:rPr>
          <w:rFonts w:hint="eastAsia"/>
        </w:rPr>
        <w:t>打印材料的系列化、标准化、绿色环保化</w:t>
      </w:r>
      <w:r>
        <w:rPr>
          <w:rFonts w:hint="eastAsia" w:hAnsi="宋体" w:cs="宋体"/>
        </w:rPr>
        <w:t>，并借助“</w:t>
      </w:r>
      <w:r>
        <w:t>3D</w:t>
      </w:r>
      <w:r>
        <w:rPr>
          <w:rFonts w:hint="eastAsia"/>
        </w:rPr>
        <w:t>打印</w:t>
      </w:r>
      <w:r>
        <w:t>+</w:t>
      </w:r>
      <w:r>
        <w:rPr>
          <w:rFonts w:hint="eastAsia"/>
        </w:rPr>
        <w:t>”的理念，不断拓展</w:t>
      </w:r>
      <w:r>
        <w:t>3D</w:t>
      </w:r>
      <w:r>
        <w:rPr>
          <w:rFonts w:hint="eastAsia"/>
        </w:rPr>
        <w:t>打印技术与传统制造业的深入融合，将是</w:t>
      </w:r>
      <w:r>
        <w:t>3D</w:t>
      </w:r>
      <w:r>
        <w:rPr>
          <w:rFonts w:hint="eastAsia"/>
        </w:rPr>
        <w:t>打印材料不断扩大产量的发展方向。</w:t>
      </w:r>
    </w:p>
    <w:p>
      <w:pPr>
        <w:pStyle w:val="128"/>
      </w:pPr>
      <w:r>
        <w:rPr>
          <w:rFonts w:hint="eastAsia"/>
        </w:rPr>
        <w:t>打印材料是目前3D打印领域研究的热点，也是3D打印工艺深入发展和应用的一个瓶颈。近20年来，3D打印技术取得了快速的发展，所用的材料种类越来越多，成形结构越来越复杂，零件的精度越来越高，使3D打印技术应用范围不断扩大。根据美国技术咨询服务协会wohler的报告，全球3D打印市场持续增长，2012年3D打印设备与服务全球直接产值是22．04亿美元。如此巨大的市场让世界各国都十分重视3D打印技术，而金属材料3D打印是3D打印技术最前沿的部分之一，在航空航天、医疗等领域应用迅速扩大，未来具有很大的发展潜力。</w:t>
      </w:r>
    </w:p>
    <w:p>
      <w:pPr>
        <w:pStyle w:val="127"/>
      </w:pPr>
      <w:r>
        <w:rPr>
          <w:rFonts w:hint="eastAsia"/>
        </w:rPr>
        <w:t>渭南高新区3D打印</w:t>
      </w:r>
      <w:r>
        <w:t>产业发展现状</w:t>
      </w:r>
    </w:p>
    <w:p>
      <w:pPr>
        <w:pStyle w:val="128"/>
      </w:pPr>
      <w:r>
        <w:t>渭南高新技术产业园区（以下简称</w:t>
      </w:r>
      <w:r>
        <w:rPr>
          <w:rFonts w:hint="eastAsia"/>
        </w:rPr>
        <w:t>“</w:t>
      </w:r>
      <w:r>
        <w:t>渭南高新区</w:t>
      </w:r>
      <w:r>
        <w:rPr>
          <w:rFonts w:hint="eastAsia"/>
        </w:rPr>
        <w:t>”</w:t>
      </w:r>
      <w:r>
        <w:t>）1988年由陕西省人民政府批准设立，1992年经陕西省人民政府批准建立高新技术产业开发试验区，2010年9月，经国务院批准，正式升级为国家级高新技术产业开发区。渭南高新区规划面积14.23</w:t>
      </w:r>
      <w:r>
        <w:rPr>
          <w:rFonts w:hint="eastAsia"/>
        </w:rPr>
        <w:t>km</w:t>
      </w:r>
      <w:r>
        <w:rPr>
          <w:vertAlign w:val="superscript"/>
        </w:rPr>
        <w:t>2</w:t>
      </w:r>
      <w:r>
        <w:t>，</w:t>
      </w:r>
      <w:r>
        <w:rPr>
          <w:rFonts w:hint="eastAsia"/>
        </w:rPr>
        <w:t>土地面积49km</w:t>
      </w:r>
      <w:r>
        <w:rPr>
          <w:vertAlign w:val="superscript"/>
        </w:rPr>
        <w:t>2</w:t>
      </w:r>
      <w:r>
        <w:rPr>
          <w:rFonts w:hint="eastAsia"/>
        </w:rPr>
        <w:t>，其中基本农田5719亩，现有人口10万人</w:t>
      </w:r>
      <w:r>
        <w:t>。</w:t>
      </w:r>
    </w:p>
    <w:p>
      <w:pPr>
        <w:pStyle w:val="128"/>
      </w:pPr>
      <w:r>
        <w:t>近年来，</w:t>
      </w:r>
      <w:r>
        <w:rPr>
          <w:rFonts w:hint="eastAsia"/>
        </w:rPr>
        <w:t>渭南</w:t>
      </w:r>
      <w:r>
        <w:t>高新区围绕</w:t>
      </w:r>
      <w:r>
        <w:rPr>
          <w:rFonts w:hint="eastAsia"/>
        </w:rPr>
        <w:t>“创建</w:t>
      </w:r>
      <w:r>
        <w:t>国内</w:t>
      </w:r>
      <w:r>
        <w:rPr>
          <w:rFonts w:hint="eastAsia"/>
        </w:rPr>
        <w:t>一流</w:t>
      </w:r>
      <w:r>
        <w:t>新型特色产业园区</w:t>
      </w:r>
      <w:r>
        <w:rPr>
          <w:rFonts w:hint="eastAsia"/>
        </w:rPr>
        <w:t>”的</w:t>
      </w:r>
      <w:r>
        <w:t>发展目标，</w:t>
      </w:r>
      <w:r>
        <w:rPr>
          <w:rFonts w:hint="eastAsia"/>
        </w:rPr>
        <w:t>坚持“特色</w:t>
      </w:r>
      <w:r>
        <w:t>、集中</w:t>
      </w:r>
      <w:r>
        <w:rPr>
          <w:rFonts w:hint="eastAsia"/>
        </w:rPr>
        <w:t>”的</w:t>
      </w:r>
      <w:r>
        <w:t>发展思路，</w:t>
      </w:r>
      <w:r>
        <w:rPr>
          <w:rFonts w:hint="eastAsia"/>
        </w:rPr>
        <w:t>形成了</w:t>
      </w:r>
      <w:r>
        <w:t>主导产业特色鲜明的具有综合竞争力的高新技术产业园区。先后获得</w:t>
      </w:r>
      <w:r>
        <w:rPr>
          <w:rFonts w:hint="eastAsia"/>
        </w:rPr>
        <w:t>“</w:t>
      </w:r>
      <w:r>
        <w:t>中国新材料高新技术产业化基地</w:t>
      </w:r>
      <w:r>
        <w:rPr>
          <w:rFonts w:hint="eastAsia"/>
        </w:rPr>
        <w:t>”</w:t>
      </w:r>
      <w:r>
        <w:t>、</w:t>
      </w:r>
      <w:r>
        <w:rPr>
          <w:rFonts w:hint="eastAsia"/>
        </w:rPr>
        <w:t>“</w:t>
      </w:r>
      <w:r>
        <w:t>中国医学3D打印技术创新发展基地</w:t>
      </w:r>
      <w:r>
        <w:rPr>
          <w:rFonts w:hint="eastAsia"/>
        </w:rPr>
        <w:t>”</w:t>
      </w:r>
      <w:r>
        <w:t>、</w:t>
      </w:r>
      <w:r>
        <w:rPr>
          <w:rFonts w:hint="eastAsia"/>
        </w:rPr>
        <w:t>“</w:t>
      </w:r>
      <w:r>
        <w:t>中国绿色照明教育示范基地</w:t>
      </w:r>
      <w:r>
        <w:rPr>
          <w:rFonts w:hint="eastAsia"/>
        </w:rPr>
        <w:t>”</w:t>
      </w:r>
      <w:r>
        <w:t>、</w:t>
      </w:r>
      <w:r>
        <w:rPr>
          <w:rFonts w:hint="eastAsia"/>
        </w:rPr>
        <w:t>“</w:t>
      </w:r>
      <w:r>
        <w:t>陕西省高层次人才创新创业基地</w:t>
      </w:r>
      <w:r>
        <w:rPr>
          <w:rFonts w:hint="eastAsia"/>
        </w:rPr>
        <w:t>”</w:t>
      </w:r>
      <w:r>
        <w:t>等称号。2015年在国家高新区中综合排名第86位。</w:t>
      </w:r>
      <w:r>
        <w:rPr>
          <w:rFonts w:hint="eastAsia"/>
        </w:rPr>
        <w:t>目前</w:t>
      </w:r>
      <w:r>
        <w:t>已经形成了三大特色主导产业。以中联重科、北人印机为骨干，工程机械、印刷机械在全国同行业处于领先地位，形成陕西东部最大的装备制造产业集群。以渭化集团、金钼科技为龙头，重点建设新型煤化工、钼化工生产基地，形成关天经济区最具特色的精细化工产业集群。以3D打印、沃特玛、天臣新能源电池为代表的新能源新材料产业快速发展，形成晋陕豫黄河金三角区域具有核心竞争力的战略性新兴产业集群。</w:t>
      </w:r>
    </w:p>
    <w:p>
      <w:pPr>
        <w:pStyle w:val="128"/>
      </w:pPr>
      <w:r>
        <w:rPr>
          <w:rFonts w:hint="eastAsia"/>
        </w:rPr>
        <w:t>《陕西省</w:t>
      </w:r>
      <w:r>
        <w:t>增材制造产业发展规划（</w:t>
      </w:r>
      <w:r>
        <w:rPr>
          <w:rFonts w:hint="eastAsia"/>
        </w:rPr>
        <w:t>2016</w:t>
      </w:r>
      <w:r>
        <w:t>-2020</w:t>
      </w:r>
      <w:r>
        <w:rPr>
          <w:rFonts w:hint="eastAsia"/>
        </w:rPr>
        <w:t>年</w:t>
      </w:r>
      <w:r>
        <w:t>）</w:t>
      </w:r>
      <w:r>
        <w:rPr>
          <w:rFonts w:hint="eastAsia"/>
        </w:rPr>
        <w:t>》将</w:t>
      </w:r>
      <w:r>
        <w:t>渭南高新区增材制造基地</w:t>
      </w:r>
      <w:r>
        <w:rPr>
          <w:rFonts w:hint="eastAsia"/>
        </w:rPr>
        <w:t>定位为陕西省</w:t>
      </w:r>
      <w:r>
        <w:t>增材</w:t>
      </w:r>
      <w:r>
        <w:rPr>
          <w:rFonts w:hint="eastAsia"/>
        </w:rPr>
        <w:t>制造</w:t>
      </w:r>
      <w:r>
        <w:t>产业</w:t>
      </w:r>
      <w:r>
        <w:rPr>
          <w:rFonts w:hint="eastAsia"/>
        </w:rPr>
        <w:t>“</w:t>
      </w:r>
      <w:r>
        <w:t>三园五链七领域</w:t>
      </w:r>
      <w:r>
        <w:rPr>
          <w:rFonts w:hint="eastAsia"/>
        </w:rPr>
        <w:t>”布局的三个</w:t>
      </w:r>
      <w:r>
        <w:t>增材制造产业园区之一，依托西安交通大学快速制造国家工程研究中心，以西安瑞特快速制造工程研究有限公司为核心，开展非金属材料及金属材料的增材制造。</w:t>
      </w:r>
    </w:p>
    <w:p>
      <w:pPr>
        <w:pStyle w:val="129"/>
        <w:rPr>
          <w:rFonts w:hAnsi="宋体" w:cs="宋体"/>
        </w:rPr>
      </w:pPr>
      <w:r>
        <w:drawing>
          <wp:inline distT="0" distB="0" distL="0" distR="0">
            <wp:extent cx="2689860" cy="1799590"/>
            <wp:effectExtent l="0" t="0" r="0" b="0"/>
            <wp:docPr id="16" name="图片 16" descr="C:\Users\12017\AppData\Roaming\Tencent\Users\497121372\QQ\WinTemp\RichOle\B@QH%5~1_IF9C[)D0}K9K$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12017\AppData\Roaming\Tencent\Users\497121372\QQ\WinTemp\RichOle\B@QH%5~1_IF9C[)D0}K9K$5.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2690253" cy="1800000"/>
                    </a:xfrm>
                    <a:prstGeom prst="rect">
                      <a:avLst/>
                    </a:prstGeom>
                    <a:noFill/>
                    <a:ln>
                      <a:noFill/>
                    </a:ln>
                  </pic:spPr>
                </pic:pic>
              </a:graphicData>
            </a:graphic>
          </wp:inline>
        </w:drawing>
      </w:r>
      <w:r>
        <w:rPr>
          <w:rFonts w:hAnsi="宋体" w:cs="宋体"/>
        </w:rPr>
        <w:drawing>
          <wp:inline distT="0" distB="0" distL="0" distR="0">
            <wp:extent cx="2493645" cy="1799590"/>
            <wp:effectExtent l="0" t="0" r="1905" b="0"/>
            <wp:docPr id="20" name="图片 20" descr="C:\Users\12017\AppData\Roaming\Tencent\Users\497121372\QQ\WinTemp\RichOle\0C048HN8K1YB`O%4M]%C9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12017\AppData\Roaming\Tencent\Users\497121372\QQ\WinTemp\RichOle\0C048HN8K1YB`O%4M]%C9MS.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2494170" cy="1800000"/>
                    </a:xfrm>
                    <a:prstGeom prst="rect">
                      <a:avLst/>
                    </a:prstGeom>
                    <a:noFill/>
                    <a:ln>
                      <a:noFill/>
                    </a:ln>
                  </pic:spPr>
                </pic:pic>
              </a:graphicData>
            </a:graphic>
          </wp:inline>
        </w:drawing>
      </w:r>
    </w:p>
    <w:p>
      <w:pPr>
        <w:pStyle w:val="137"/>
        <w:numPr>
          <w:ilvl w:val="0"/>
          <w:numId w:val="15"/>
        </w:numPr>
      </w:pPr>
      <w:r>
        <w:rPr>
          <w:rFonts w:hint="eastAsia"/>
        </w:rPr>
        <w:t>渭南</w:t>
      </w:r>
      <w:r>
        <w:t>高新技术产业园区</w:t>
      </w:r>
    </w:p>
    <w:p>
      <w:pPr>
        <w:pStyle w:val="126"/>
      </w:pPr>
      <w:r>
        <w:rPr>
          <w:rFonts w:hint="eastAsia"/>
        </w:rPr>
        <w:t>渭南高新区3D打印专用</w:t>
      </w:r>
      <w:r>
        <w:t>特色</w:t>
      </w:r>
      <w:r>
        <w:rPr>
          <w:rFonts w:hint="eastAsia"/>
        </w:rPr>
        <w:t>新材料的</w:t>
      </w:r>
      <w:r>
        <w:t>发展思路</w:t>
      </w:r>
    </w:p>
    <w:p>
      <w:pPr>
        <w:pStyle w:val="128"/>
      </w:pPr>
      <w:r>
        <w:rPr>
          <w:rFonts w:hint="eastAsia"/>
        </w:rPr>
        <w:t>渭南市高新区</w:t>
      </w:r>
      <w:r>
        <w:t>的</w:t>
      </w:r>
      <w:r>
        <w:rPr>
          <w:rFonts w:hint="eastAsia"/>
        </w:rPr>
        <w:t>3D打印</w:t>
      </w:r>
      <w:r>
        <w:t>产业园是全国最早的</w:t>
      </w:r>
      <w:r>
        <w:rPr>
          <w:rFonts w:hint="eastAsia"/>
        </w:rPr>
        <w:t>3D打印</w:t>
      </w:r>
      <w:r>
        <w:t>产业园，</w:t>
      </w:r>
      <w:r>
        <w:rPr>
          <w:rFonts w:hint="eastAsia"/>
        </w:rPr>
        <w:t>规划</w:t>
      </w:r>
      <w:r>
        <w:t>充分依托其先发优势，</w:t>
      </w:r>
      <w:r>
        <w:rPr>
          <w:rFonts w:hint="eastAsia"/>
        </w:rPr>
        <w:t>发展</w:t>
      </w:r>
      <w:r>
        <w:t>集</w:t>
      </w:r>
      <w:r>
        <w:rPr>
          <w:rFonts w:hint="eastAsia"/>
        </w:rPr>
        <w:t>材料研发</w:t>
      </w:r>
      <w:r>
        <w:t>、工艺设计、设备制造及产业应用为一体的全产业链体系。</w:t>
      </w:r>
    </w:p>
    <w:p>
      <w:pPr>
        <w:pStyle w:val="128"/>
      </w:pPr>
      <w:r>
        <w:rPr>
          <w:rFonts w:hint="eastAsia"/>
        </w:rPr>
        <w:t>（1）加大关键</w:t>
      </w:r>
      <w:r>
        <w:t>技术</w:t>
      </w:r>
      <w:r>
        <w:rPr>
          <w:rFonts w:hint="eastAsia"/>
        </w:rPr>
        <w:t>的</w:t>
      </w:r>
      <w:r>
        <w:t>研发</w:t>
      </w:r>
    </w:p>
    <w:p>
      <w:pPr>
        <w:pStyle w:val="128"/>
      </w:pPr>
      <w:r>
        <w:rPr>
          <w:rFonts w:hint="eastAsia"/>
        </w:rPr>
        <w:t>发挥</w:t>
      </w:r>
      <w:r>
        <w:t>西</w:t>
      </w:r>
      <w:r>
        <w:rPr>
          <w:rFonts w:hint="eastAsia"/>
        </w:rPr>
        <w:t>交大</w:t>
      </w:r>
      <w:r>
        <w:t>、西工大、</w:t>
      </w:r>
      <w:r>
        <w:rPr>
          <w:rFonts w:hint="eastAsia"/>
        </w:rPr>
        <w:t>西北有色院</w:t>
      </w:r>
      <w:r>
        <w:t>等高等院校和科研院所的研发优势，</w:t>
      </w:r>
      <w:r>
        <w:rPr>
          <w:rFonts w:hint="eastAsia"/>
        </w:rPr>
        <w:t>加强3D打印</w:t>
      </w:r>
      <w:r>
        <w:t>信息技术、精密机械制造技术、材料研发技术等关键技术的研发</w:t>
      </w:r>
      <w:r>
        <w:rPr>
          <w:rFonts w:hint="eastAsia"/>
        </w:rPr>
        <w:t>。</w:t>
      </w:r>
    </w:p>
    <w:p>
      <w:pPr>
        <w:pStyle w:val="128"/>
      </w:pPr>
      <w:r>
        <w:rPr>
          <w:rFonts w:hint="eastAsia"/>
        </w:rPr>
        <w:t>（2）突破3D打印</w:t>
      </w:r>
      <w:r>
        <w:t>材料</w:t>
      </w:r>
      <w:r>
        <w:rPr>
          <w:rFonts w:hint="eastAsia"/>
        </w:rPr>
        <w:t>关键</w:t>
      </w:r>
      <w:r>
        <w:t>技术</w:t>
      </w:r>
    </w:p>
    <w:p>
      <w:pPr>
        <w:pStyle w:val="128"/>
      </w:pPr>
      <w:r>
        <w:rPr>
          <w:rFonts w:hint="eastAsia"/>
        </w:rPr>
        <w:t>规划依托</w:t>
      </w:r>
      <w:r>
        <w:t>高新区国家新材料、新技术产业基地、培育发展新材料产业，</w:t>
      </w:r>
      <w:r>
        <w:rPr>
          <w:rFonts w:hint="eastAsia"/>
        </w:rPr>
        <w:t>重点发展3D打印</w:t>
      </w:r>
      <w:r>
        <w:t>（增材制造）专用特色新材料，加大</w:t>
      </w:r>
      <w:r>
        <w:rPr>
          <w:rFonts w:hint="eastAsia"/>
        </w:rPr>
        <w:t>3</w:t>
      </w:r>
      <w:r>
        <w:t>D</w:t>
      </w:r>
      <w:r>
        <w:rPr>
          <w:rFonts w:hint="eastAsia"/>
        </w:rPr>
        <w:t>打印</w:t>
      </w:r>
      <w:r>
        <w:t>专用金属、智能材料、生物医用复合材料</w:t>
      </w:r>
      <w:r>
        <w:rPr>
          <w:rFonts w:hint="eastAsia"/>
        </w:rPr>
        <w:t>以及</w:t>
      </w:r>
      <w:r>
        <w:t>电子信息</w:t>
      </w:r>
      <w:r>
        <w:rPr>
          <w:rFonts w:hint="eastAsia"/>
        </w:rPr>
        <w:t>材料</w:t>
      </w:r>
      <w:r>
        <w:t>的研发和应用，发展高性能复合材料、无机非金属材料和绿色建材产业，打造渭南高新区</w:t>
      </w:r>
      <w:r>
        <w:rPr>
          <w:rFonts w:hint="eastAsia"/>
        </w:rPr>
        <w:t>3D打印</w:t>
      </w:r>
      <w:r>
        <w:t>专用特色新材料产业基地。</w:t>
      </w:r>
      <w:r>
        <w:rPr>
          <w:rFonts w:hint="eastAsia"/>
        </w:rPr>
        <w:t>结合</w:t>
      </w:r>
      <w:r>
        <w:t>渭南乃至整个西安的现状产业布局和发展方向，重点发展航空航天、汽车、生物医疗、教育、文化创意等领域的增材制造材料研发。发挥3D打印产业基金作用，加快先进技术、优势企业聚集，率先在航空航天、模具制造、医疗器械、工业设计、教育培训等领域实现3D打印规模化应用。</w:t>
      </w:r>
    </w:p>
    <w:p>
      <w:pPr>
        <w:pStyle w:val="126"/>
      </w:pPr>
      <w:r>
        <w:rPr>
          <w:rFonts w:hint="eastAsia"/>
        </w:rPr>
        <w:t>重点</w:t>
      </w:r>
      <w:r>
        <w:t>发展</w:t>
      </w:r>
      <w:r>
        <w:rPr>
          <w:rFonts w:hint="eastAsia"/>
        </w:rPr>
        <w:t>材料</w:t>
      </w:r>
    </w:p>
    <w:p>
      <w:pPr>
        <w:pStyle w:val="127"/>
      </w:pPr>
      <w:r>
        <w:rPr>
          <w:rFonts w:hint="eastAsia"/>
        </w:rPr>
        <w:t>3D打印专用金属</w:t>
      </w:r>
    </w:p>
    <w:p>
      <w:pPr>
        <w:pStyle w:val="128"/>
      </w:pPr>
      <w:r>
        <w:rPr>
          <w:rFonts w:hint="eastAsia"/>
        </w:rPr>
        <w:t>但是，因为金属3D打印材料本身的材料属性，其都有特定的应用领域范围，因此，金属3D打印材料选择的过程是一个权衡多个因素的过程。而且，3D打印金属不能仅仅凭借金属3D打印机的参数来衡定，每种金属材料都有适合自身特性的极限点，包括应用、功能、稳定性、耐久性、美观性、经济性都是设计师要考虑的因素。</w:t>
      </w:r>
    </w:p>
    <w:p>
      <w:pPr>
        <w:pStyle w:val="128"/>
      </w:pPr>
      <w:r>
        <w:rPr>
          <w:rFonts w:hint="eastAsia"/>
        </w:rPr>
        <w:t>现今，国内外金属3D打印机金属粉末一般有：工具钢、马氏体钢、不锈钢、纯钛及钛合金、铝合金、镍基合金、铜基合金、钴铬合金等。</w:t>
      </w:r>
    </w:p>
    <w:p>
      <w:pPr>
        <w:pStyle w:val="128"/>
      </w:pPr>
      <w:r>
        <w:rPr>
          <w:rFonts w:hint="eastAsia"/>
        </w:rPr>
        <w:t>（1）</w:t>
      </w:r>
      <w:r>
        <w:t>工具钢和马氏体钢</w:t>
      </w:r>
    </w:p>
    <w:p>
      <w:pPr>
        <w:pStyle w:val="128"/>
      </w:pPr>
      <w:r>
        <w:drawing>
          <wp:anchor distT="0" distB="0" distL="114300" distR="114300" simplePos="0" relativeHeight="251650048" behindDoc="0" locked="0" layoutInCell="1" allowOverlap="1">
            <wp:simplePos x="0" y="0"/>
            <wp:positionH relativeFrom="column">
              <wp:posOffset>3461385</wp:posOffset>
            </wp:positionH>
            <wp:positionV relativeFrom="paragraph">
              <wp:posOffset>59690</wp:posOffset>
            </wp:positionV>
            <wp:extent cx="1946275" cy="1430655"/>
            <wp:effectExtent l="0" t="0" r="0" b="0"/>
            <wp:wrapSquare wrapText="bothSides"/>
            <wp:docPr id="36" name="图片 36" descr="C:\Users\12017\AppData\Roaming\Tencent\Users\497121372\QQ\WinTemp\RichOle\~7NTV1}O89H1UVTN49G(~Z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12017\AppData\Roaming\Tencent\Users\497121372\QQ\WinTemp\RichOle\~7NTV1}O89H1UVTN49G(~ZW.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1946275" cy="1430655"/>
                    </a:xfrm>
                    <a:prstGeom prst="rect">
                      <a:avLst/>
                    </a:prstGeom>
                    <a:noFill/>
                    <a:ln>
                      <a:noFill/>
                    </a:ln>
                  </pic:spPr>
                </pic:pic>
              </a:graphicData>
            </a:graphic>
          </wp:anchor>
        </w:drawing>
      </w:r>
      <w:r>
        <w:t>以工具钢和马氏体钢为例，工具钢的适用性来源于其优异的硬度、耐磨性和抗形变能力，以及在高温下保持切削刃的能力。模具H13热作工具钢就是其中一种，能够承受不确定时间的工艺条件；马氏体钢，以马氏体300为例，又称</w:t>
      </w:r>
      <w:r>
        <w:rPr>
          <w:rFonts w:hint="eastAsia"/>
        </w:rPr>
        <w:t>“</w:t>
      </w:r>
      <w:r>
        <w:t>马氏体时效</w:t>
      </w:r>
      <w:r>
        <w:rPr>
          <w:rFonts w:hint="eastAsia"/>
        </w:rPr>
        <w:t>”</w:t>
      </w:r>
      <w:r>
        <w:t>钢，在时效过程中的高强度、韧性和尺寸稳定性都是众所周知的。他们与其他钢不同，因为他们是不含碳的，属于金属间化合物，通过丰富的镍、钴和钼的冶金反应硬化。由于高硬度和耐磨性，马氏体300才适用于许多模具的应用，例如，注塑模具、轻金属合金铸造、冲压和挤压等，同时，其也广泛应用于航空航天、高强度机身部件和赛车零部件。</w:t>
      </w:r>
    </w:p>
    <w:p>
      <w:pPr>
        <w:pStyle w:val="128"/>
      </w:pPr>
      <w:r>
        <w:rPr>
          <w:rFonts w:hint="eastAsia"/>
        </w:rPr>
        <w:t>（2）</w:t>
      </w:r>
      <w:r>
        <w:t>不锈钢</w:t>
      </w:r>
    </w:p>
    <w:p>
      <w:pPr>
        <w:pStyle w:val="128"/>
      </w:pPr>
      <w:r>
        <w:drawing>
          <wp:anchor distT="0" distB="0" distL="114300" distR="114300" simplePos="0" relativeHeight="251651072" behindDoc="0" locked="0" layoutInCell="1" allowOverlap="1">
            <wp:simplePos x="0" y="0"/>
            <wp:positionH relativeFrom="column">
              <wp:posOffset>3014980</wp:posOffset>
            </wp:positionH>
            <wp:positionV relativeFrom="paragraph">
              <wp:posOffset>93980</wp:posOffset>
            </wp:positionV>
            <wp:extent cx="2363470" cy="1243965"/>
            <wp:effectExtent l="0" t="0" r="0" b="0"/>
            <wp:wrapSquare wrapText="bothSides"/>
            <wp:docPr id="38" name="图片 38" descr="C:\Users\12017\AppData\Roaming\Tencent\Users\497121372\QQ\WinTemp\RichOle\RRYG3I7DLSTWBB~`][50CJ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12017\AppData\Roaming\Tencent\Users\497121372\QQ\WinTemp\RichOle\RRYG3I7DLSTWBB~`][50CJV.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2363470" cy="1243965"/>
                    </a:xfrm>
                    <a:prstGeom prst="rect">
                      <a:avLst/>
                    </a:prstGeom>
                    <a:noFill/>
                    <a:ln>
                      <a:noFill/>
                    </a:ln>
                  </pic:spPr>
                </pic:pic>
              </a:graphicData>
            </a:graphic>
          </wp:anchor>
        </w:drawing>
      </w:r>
      <w:r>
        <w:rPr>
          <w:rFonts w:hint="eastAsia"/>
        </w:rPr>
        <w:t>不锈钢与碳钢不同，目前的铬含量不同，10.5%铬含量最低的钢合金，不锈钢不容易生锈腐蚀。目前，应用于金属3D打印的不锈钢主要有三种：奥氏体不锈钢316L、马氏体不锈钢15-5PH、马氏体不锈钢17-4PH。</w:t>
      </w:r>
    </w:p>
    <w:p>
      <w:pPr>
        <w:pStyle w:val="128"/>
      </w:pPr>
      <w:r>
        <w:rPr>
          <w:rFonts w:hint="eastAsia"/>
        </w:rPr>
        <w:t>奥氏体不锈钢316L，具有高强度和耐腐蚀性，可在很宽的温度范围下降到低温，可应用于航空航天、石化等多种工程应用，也可以用于食品加工和医疗等领域。</w:t>
      </w:r>
    </w:p>
    <w:p>
      <w:pPr>
        <w:pStyle w:val="128"/>
      </w:pPr>
      <w:r>
        <w:rPr>
          <w:rFonts w:hint="eastAsia"/>
        </w:rPr>
        <w:t>马氏体不锈钢15-5PH，又称马氏体时效（沉淀硬化）不锈钢，具有很高的强度、良好的韧性、耐腐蚀性，而且可以进一步的硬化，是无铁素体。目前，广泛应用于航空航天、石化、化工、食品加工、造纸和金属加工业。</w:t>
      </w:r>
    </w:p>
    <w:p>
      <w:pPr>
        <w:pStyle w:val="128"/>
      </w:pPr>
      <w:r>
        <w:rPr>
          <w:rFonts w:hint="eastAsia"/>
        </w:rPr>
        <w:t>马氏体不锈钢17-4PH，在高达315℃下仍具有高强度高韧性，而且耐腐蚀性超强，随着激光加工状态可以带俩极佳的延展性。</w:t>
      </w:r>
    </w:p>
    <w:p>
      <w:pPr>
        <w:pStyle w:val="128"/>
      </w:pPr>
      <w:r>
        <w:rPr>
          <w:rFonts w:hint="eastAsia"/>
        </w:rPr>
        <w:t>（3）</w:t>
      </w:r>
      <w:r>
        <w:t>合金</w:t>
      </w:r>
    </w:p>
    <w:p>
      <w:pPr>
        <w:pStyle w:val="128"/>
      </w:pPr>
      <w:r>
        <w:t>金属3D打印材料应用最为广泛的金属粉末合金主要有纯钛及钛合金、铝合金、镍基合金、钴铬合金、铜基合金等。</w:t>
      </w:r>
    </w:p>
    <w:p>
      <w:pPr>
        <w:pStyle w:val="128"/>
      </w:pPr>
      <w:r>
        <w:t>a）纯钛及钛合金</w:t>
      </w:r>
    </w:p>
    <w:p>
      <w:pPr>
        <w:pStyle w:val="128"/>
      </w:pPr>
      <w:r>
        <w:drawing>
          <wp:anchor distT="0" distB="0" distL="114300" distR="114300" simplePos="0" relativeHeight="251652096" behindDoc="0" locked="0" layoutInCell="1" allowOverlap="1">
            <wp:simplePos x="0" y="0"/>
            <wp:positionH relativeFrom="column">
              <wp:posOffset>3396615</wp:posOffset>
            </wp:positionH>
            <wp:positionV relativeFrom="paragraph">
              <wp:posOffset>6350</wp:posOffset>
            </wp:positionV>
            <wp:extent cx="2147570" cy="1399540"/>
            <wp:effectExtent l="0" t="0" r="0" b="0"/>
            <wp:wrapSquare wrapText="bothSides"/>
            <wp:docPr id="39" name="图片 39" descr="E:\20160802 渭南市新能源新材料产业规划\04 作图\纯钛及钛合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E:\20160802 渭南市新能源新材料产业规划\04 作图\纯钛及钛合金.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147570" cy="1399540"/>
                    </a:xfrm>
                    <a:prstGeom prst="rect">
                      <a:avLst/>
                    </a:prstGeom>
                    <a:noFill/>
                    <a:ln>
                      <a:noFill/>
                    </a:ln>
                  </pic:spPr>
                </pic:pic>
              </a:graphicData>
            </a:graphic>
          </wp:anchor>
        </w:drawing>
      </w:r>
      <w:r>
        <w:rPr>
          <w:rFonts w:hint="eastAsia"/>
        </w:rPr>
        <w:t>目前应用于市场的纯钛，又称商业纯钛，分为1级和2级粉体，2级强于1级，对于大多数的应用同样具有耐腐蚀性。因为纯钛2级具有良好的生物相容性，因此在医疗行业具有广泛的应用前景。</w:t>
      </w:r>
    </w:p>
    <w:p>
      <w:pPr>
        <w:pStyle w:val="128"/>
      </w:pPr>
      <w:r>
        <w:rPr>
          <w:rFonts w:hint="eastAsia"/>
        </w:rPr>
        <w:t>钛是钛合金产业的关键。目前，应用于金属3D打印的钛合金主要是钛合金5级和钛合金23级，因为其优异的强度和韧性，结合耐腐蚀、低比重和生物相容性，所以在航空航天和汽车制造中具有非常理想的应用，而且，因为强度高、模量低、耐疲劳性强，应用于生产生物医学植入物。钛合金23级，纯度更高，是神级一样的牙科和医疗钛品级。</w:t>
      </w:r>
    </w:p>
    <w:p>
      <w:pPr>
        <w:pStyle w:val="128"/>
      </w:pPr>
      <w:r>
        <w:t>b）铝合金</w:t>
      </w:r>
    </w:p>
    <w:p>
      <w:pPr>
        <w:pStyle w:val="128"/>
      </w:pPr>
      <w:r>
        <w:drawing>
          <wp:anchor distT="0" distB="0" distL="114300" distR="114300" simplePos="0" relativeHeight="251653120" behindDoc="0" locked="0" layoutInCell="1" allowOverlap="1">
            <wp:simplePos x="0" y="0"/>
            <wp:positionH relativeFrom="column">
              <wp:posOffset>3654425</wp:posOffset>
            </wp:positionH>
            <wp:positionV relativeFrom="paragraph">
              <wp:posOffset>56515</wp:posOffset>
            </wp:positionV>
            <wp:extent cx="1793875" cy="1559560"/>
            <wp:effectExtent l="0" t="0" r="0" b="0"/>
            <wp:wrapSquare wrapText="bothSides"/>
            <wp:docPr id="41" name="图片 41" descr="E:\20160802 渭南市新能源新材料产业规划\04 作图\铝合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E:\20160802 渭南市新能源新材料产业规划\04 作图\铝合金.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1793875" cy="1559560"/>
                    </a:xfrm>
                    <a:prstGeom prst="rect">
                      <a:avLst/>
                    </a:prstGeom>
                    <a:noFill/>
                    <a:ln>
                      <a:noFill/>
                    </a:ln>
                  </pic:spPr>
                </pic:pic>
              </a:graphicData>
            </a:graphic>
          </wp:anchor>
        </w:drawing>
      </w:r>
      <w:r>
        <w:t>目前，应用于金属3D打印的铝合金主要有铝硅AlSi12和AlSi10Mg两种。铝硅12，是具有良好的热性能的轻质增材制造金属粉末，可应用于薄壁零件如换热器或其他汽车零部件，还可应用于航空航天及航空工业级的原型及生产零部件；硅/镁组合使铝合金更具强度和硬度，使其适用于薄壁以及复杂的几何形状的零件，尤其是在具有良好的热性能和低重量场合中。</w:t>
      </w:r>
    </w:p>
    <w:p>
      <w:pPr>
        <w:pStyle w:val="128"/>
      </w:pPr>
      <w:r>
        <w:t>c）镍基合金</w:t>
      </w:r>
    </w:p>
    <w:p>
      <w:pPr>
        <w:pStyle w:val="128"/>
      </w:pPr>
      <w:r>
        <w:rPr>
          <w:rFonts w:hint="eastAsia"/>
        </w:rPr>
        <w:t>一般情况下，镍基合金都具有良好的抗拉伸、抗疲劳和抗热疲劳性能。目前，主要有Inconel 738、Hastelloy X、Inconel 625、Inconel 713、Inconel 718等。</w:t>
      </w:r>
    </w:p>
    <w:p>
      <w:pPr>
        <w:pStyle w:val="128"/>
      </w:pPr>
      <w:r>
        <w:rPr>
          <w:rFonts w:hint="eastAsia"/>
        </w:rPr>
        <w:t>Inconel 738具有良好的高温蠕变断裂强度，抗热腐蚀性是较低铬含量的超合金，可长期暴露于高达920-980℃的高温腐蚀性的环境中，适用于飞机发动机、燃气轮机。</w:t>
      </w:r>
    </w:p>
    <w:p>
      <w:pPr>
        <w:pStyle w:val="128"/>
      </w:pPr>
      <w:r>
        <w:drawing>
          <wp:anchor distT="0" distB="0" distL="114300" distR="114300" simplePos="0" relativeHeight="251654144" behindDoc="0" locked="0" layoutInCell="1" allowOverlap="1">
            <wp:simplePos x="0" y="0"/>
            <wp:positionH relativeFrom="column">
              <wp:posOffset>3971290</wp:posOffset>
            </wp:positionH>
            <wp:positionV relativeFrom="paragraph">
              <wp:posOffset>54610</wp:posOffset>
            </wp:positionV>
            <wp:extent cx="1466215" cy="1272540"/>
            <wp:effectExtent l="0" t="0" r="0" b="0"/>
            <wp:wrapSquare wrapText="bothSides"/>
            <wp:docPr id="42" name="图片 42" descr="E:\20160802 渭南市新能源新材料产业规划\04 作图\镍基合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E:\20160802 渭南市新能源新材料产业规划\04 作图\镍基合金.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1466215" cy="1272540"/>
                    </a:xfrm>
                    <a:prstGeom prst="rect">
                      <a:avLst/>
                    </a:prstGeom>
                    <a:noFill/>
                    <a:ln>
                      <a:noFill/>
                    </a:ln>
                  </pic:spPr>
                </pic:pic>
              </a:graphicData>
            </a:graphic>
          </wp:anchor>
        </w:drawing>
      </w:r>
      <w:r>
        <w:rPr>
          <w:rFonts w:hint="eastAsia"/>
        </w:rPr>
        <w:t>Hastelloy X在高温下具有高强度和抗氧化性，在高达1200℃的环境中，也具有良好的延展性，目前，主要应用于航空航天技术中，例如燃气轮机部件和燃烧区组件如过渡管、燃烧器罐、喷杆、排气管、加力燃烧室等；而且还因为具有耐应力腐蚀开裂的性能，应用于工业炉、石油化工及化学过程工业中。</w:t>
      </w:r>
    </w:p>
    <w:p>
      <w:pPr>
        <w:pStyle w:val="128"/>
      </w:pPr>
      <w:r>
        <w:rPr>
          <w:rFonts w:hint="eastAsia"/>
        </w:rPr>
        <w:t>Inconel 625在高温约815℃的条件下依然具有良好的负载性能，而且耐腐蚀性强，广泛应用于航空航天、化工及电力工业中。</w:t>
      </w:r>
    </w:p>
    <w:p>
      <w:pPr>
        <w:pStyle w:val="128"/>
      </w:pPr>
      <w:r>
        <w:rPr>
          <w:rFonts w:hint="eastAsia"/>
        </w:rPr>
        <w:t>Inconel 713具有优异的抗热疲劳性能，以及在927℃的特殊断裂强度，适用于喷气发动机燃气轮机叶片。</w:t>
      </w:r>
    </w:p>
    <w:p>
      <w:pPr>
        <w:pStyle w:val="128"/>
      </w:pPr>
      <w:r>
        <w:drawing>
          <wp:anchor distT="0" distB="0" distL="114300" distR="114300" simplePos="0" relativeHeight="251655168" behindDoc="0" locked="0" layoutInCell="1" allowOverlap="1">
            <wp:simplePos x="0" y="0"/>
            <wp:positionH relativeFrom="column">
              <wp:posOffset>3963670</wp:posOffset>
            </wp:positionH>
            <wp:positionV relativeFrom="paragraph">
              <wp:posOffset>188595</wp:posOffset>
            </wp:positionV>
            <wp:extent cx="1466850" cy="1316355"/>
            <wp:effectExtent l="0" t="0" r="0" b="0"/>
            <wp:wrapSquare wrapText="bothSides"/>
            <wp:docPr id="44" name="图片 44" descr="C:\Users\12017\AppData\Roaming\Tencent\Users\497121372\QQ\WinTemp\RichOle\)5]F$CDS5}5`({]V)B0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12017\AppData\Roaming\Tencent\Users\497121372\QQ\WinTemp\RichOle\)5]F$CDS5}5`({]V)B01({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1466850" cy="1316355"/>
                    </a:xfrm>
                    <a:prstGeom prst="rect">
                      <a:avLst/>
                    </a:prstGeom>
                    <a:noFill/>
                    <a:ln>
                      <a:noFill/>
                    </a:ln>
                  </pic:spPr>
                </pic:pic>
              </a:graphicData>
            </a:graphic>
          </wp:anchor>
        </w:drawing>
      </w:r>
      <w:r>
        <w:t>d）钴铬合金</w:t>
      </w:r>
    </w:p>
    <w:p>
      <w:pPr>
        <w:pStyle w:val="128"/>
      </w:pPr>
      <w:r>
        <w:t>钴铬合金具有高强度、耐腐蚀性强、良好的生物相容性以及无磁性的性能，主要应用于外科植入物包括合金人工关节、膝关节和髋关节，同时其还可用于发动机部件以及时装、珠宝行业等。</w:t>
      </w:r>
    </w:p>
    <w:p>
      <w:pPr>
        <w:pStyle w:val="128"/>
      </w:pPr>
      <w:r>
        <w:t>e）铜基合金</w:t>
      </w:r>
    </w:p>
    <w:p>
      <w:pPr>
        <w:pStyle w:val="128"/>
      </w:pPr>
      <w:r>
        <w:drawing>
          <wp:anchor distT="0" distB="0" distL="114300" distR="114300" simplePos="0" relativeHeight="251656192" behindDoc="0" locked="0" layoutInCell="1" allowOverlap="1">
            <wp:simplePos x="0" y="0"/>
            <wp:positionH relativeFrom="column">
              <wp:posOffset>4172585</wp:posOffset>
            </wp:positionH>
            <wp:positionV relativeFrom="paragraph">
              <wp:posOffset>58420</wp:posOffset>
            </wp:positionV>
            <wp:extent cx="1247775" cy="1748155"/>
            <wp:effectExtent l="0" t="0" r="0" b="0"/>
            <wp:wrapSquare wrapText="bothSides"/>
            <wp:docPr id="46" name="图片 46" descr="C:\Users\12017\AppData\Roaming\Tencent\Users\497121372\QQ\WinTemp\RichOle\TIXYD23B$O2E5ETW1A1$P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12017\AppData\Roaming\Tencent\Users\497121372\QQ\WinTemp\RichOle\TIXYD23B$O2E5ETW1A1$P94.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1247775" cy="1748155"/>
                    </a:xfrm>
                    <a:prstGeom prst="rect">
                      <a:avLst/>
                    </a:prstGeom>
                    <a:noFill/>
                    <a:ln>
                      <a:noFill/>
                    </a:ln>
                  </pic:spPr>
                </pic:pic>
              </a:graphicData>
            </a:graphic>
          </wp:anchor>
        </w:drawing>
      </w:r>
      <w:r>
        <w:t>应用于市场的铜基合金，俗称青铜，具有良好的导热性和导电性，可以结合设计自由度，产生复杂的内部结构和冷却通道，适合冷却更有效的工具插入模具，如半导体器件，也可用于微型换热器，具有壁薄、形状复杂的特征。</w:t>
      </w:r>
    </w:p>
    <w:p>
      <w:pPr>
        <w:pStyle w:val="128"/>
      </w:pPr>
      <w:r>
        <w:rPr>
          <w:rFonts w:hint="eastAsia"/>
        </w:rPr>
        <w:t>Inconel 718是基于铁镍硬化的超合金，具有良好的耐腐蚀性及耐热、拉伸、疲劳、蠕变性，适用于各种高端应用，例如，飞机涡轮发动机和陆基涡轮机等。</w:t>
      </w:r>
    </w:p>
    <w:p>
      <w:pPr>
        <w:pStyle w:val="128"/>
      </w:pPr>
      <w:r>
        <w:rPr>
          <w:rFonts w:hint="eastAsia"/>
        </w:rPr>
        <w:t>目前，国内3D打印耗材金属粉末制备难度大、产量小、产品性能低，国外厂家垄断市场，价格昂贵。因此，对3D打印耗材金属粉末制备方法的研究尤为重要。</w:t>
      </w:r>
    </w:p>
    <w:p>
      <w:pPr>
        <w:pStyle w:val="128"/>
      </w:pPr>
      <w:r>
        <w:t>3</w:t>
      </w:r>
      <w:r>
        <w:rPr>
          <w:rFonts w:hint="eastAsia"/>
        </w:rPr>
        <w:t>D打印金属粉末作为金属零件3D打印产业链最重要的一环，也是最大的价值所在。在“2013年世界3D打印技术产业大会”上，世界3D打印行业的权威专家对3D打印金属粉末给予明确定义，即指尺寸小于1mm的金属颗粒群。包括单一金属粉末、合金粉末以及具有金属性质的某些难熔化合物粉末。目前，3D打印金属粉末材料包括钴铬合金、不锈钢、工业钢、青铜合金、钛合金和镍铝合金等。但是3D打印金属粉末除需具备良好的可塑性外，还必须满足粉末粒径细小、粒度分布较窄、球形度高、流动性好和松装密度高等要求。由于3D打印</w:t>
      </w:r>
      <w:r>
        <w:t>一次成型的特点，对打印金属粉末的品质要求非常高，不同质量的金属粉末</w:t>
      </w:r>
      <w:r>
        <w:rPr>
          <w:rFonts w:hint="eastAsia"/>
        </w:rPr>
        <w:t>直接</w:t>
      </w:r>
      <w:r>
        <w:t>决定了</w:t>
      </w:r>
      <w:r>
        <w:rPr>
          <w:rFonts w:hint="eastAsia"/>
        </w:rPr>
        <w:t>3D打印产品</w:t>
      </w:r>
      <w:r>
        <w:t>的质量。</w:t>
      </w:r>
      <w:r>
        <w:rPr>
          <w:rFonts w:hint="eastAsia"/>
        </w:rPr>
        <w:t>所以</w:t>
      </w:r>
      <w:r>
        <w:t>，3D</w:t>
      </w:r>
      <w:r>
        <w:rPr>
          <w:rFonts w:hint="eastAsia"/>
        </w:rPr>
        <w:t>打印</w:t>
      </w:r>
      <w:r>
        <w:t>金属材料的研发对于</w:t>
      </w:r>
      <w:r>
        <w:rPr>
          <w:rFonts w:hint="eastAsia"/>
        </w:rPr>
        <w:t>3D金属</w:t>
      </w:r>
      <w:r>
        <w:t>打印技术的应用具有至关重要的作用。</w:t>
      </w:r>
    </w:p>
    <w:p>
      <w:pPr>
        <w:pStyle w:val="129"/>
      </w:pPr>
      <w:r>
        <w:drawing>
          <wp:inline distT="0" distB="0" distL="0" distR="0">
            <wp:extent cx="2345690" cy="1706245"/>
            <wp:effectExtent l="0" t="0" r="0" b="8255"/>
            <wp:docPr id="48" name="图片 48" descr="C:\Users\12017\AppData\Roaming\Tencent\Users\497121372\QQ\WinTemp\RichOle\]`ASMBXL{QMFV7HGN_P)~6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12017\AppData\Roaming\Tencent\Users\497121372\QQ\WinTemp\RichOle\]`ASMBXL{QMFV7HGN_P)~6T.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2346300" cy="1706400"/>
                    </a:xfrm>
                    <a:prstGeom prst="rect">
                      <a:avLst/>
                    </a:prstGeom>
                    <a:noFill/>
                    <a:ln>
                      <a:noFill/>
                    </a:ln>
                  </pic:spPr>
                </pic:pic>
              </a:graphicData>
            </a:graphic>
          </wp:inline>
        </w:drawing>
      </w:r>
      <w:r>
        <w:drawing>
          <wp:inline distT="0" distB="0" distL="0" distR="0">
            <wp:extent cx="2228850" cy="1704975"/>
            <wp:effectExtent l="0" t="0" r="0" b="9525"/>
            <wp:docPr id="50" name="图片 50" descr="C:\Users\12017\AppData\Roaming\Tencent\Users\497121372\QQ\WinTemp\RichOle\QC@B49M)5[5%~E0PQNQ0@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Users\12017\AppData\Roaming\Tencent\Users\497121372\QQ\WinTemp\RichOle\QC@B49M)5[5%~E0PQNQ0@RI.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2228850" cy="1704975"/>
                    </a:xfrm>
                    <a:prstGeom prst="rect">
                      <a:avLst/>
                    </a:prstGeom>
                    <a:noFill/>
                    <a:ln>
                      <a:noFill/>
                    </a:ln>
                  </pic:spPr>
                </pic:pic>
              </a:graphicData>
            </a:graphic>
          </wp:inline>
        </w:drawing>
      </w:r>
    </w:p>
    <w:p>
      <w:pPr>
        <w:pStyle w:val="137"/>
        <w:numPr>
          <w:ilvl w:val="0"/>
          <w:numId w:val="15"/>
        </w:numPr>
      </w:pPr>
      <w:r>
        <w:rPr>
          <w:rFonts w:hint="eastAsia"/>
        </w:rPr>
        <w:t>两种3D打印</w:t>
      </w:r>
      <w:r>
        <w:t>不锈钢粉末的</w:t>
      </w:r>
      <w:r>
        <w:rPr>
          <w:rFonts w:hint="eastAsia"/>
        </w:rPr>
        <w:t>微观</w:t>
      </w:r>
      <w:r>
        <w:t>结构对比</w:t>
      </w:r>
    </w:p>
    <w:p>
      <w:pPr>
        <w:pStyle w:val="127"/>
      </w:pPr>
      <w:r>
        <w:rPr>
          <w:rFonts w:hint="eastAsia"/>
        </w:rPr>
        <w:t>智能材料</w:t>
      </w:r>
    </w:p>
    <w:p>
      <w:pPr>
        <w:pStyle w:val="128"/>
      </w:pPr>
      <w:r>
        <w:rPr>
          <w:rFonts w:hint="eastAsia"/>
        </w:rPr>
        <w:t>智能材料是继天然材料、合成高分子材料、人工设计材料之后的第四代材料，是现代高技术新材料发展的重要方向之一。一般说来，智能材料有七大功能，即传感功能、反馈功能、信息识别与积累功能、响应功能、自诊断能力、自修复能力和自适应能力。国外在智能材料的研发方面取得很多技术突破，如英国宇航公司的导线传感器，用于测试飞机蒙皮上的应变与温度情况；英国开发出一种快速反应形状记忆合金，寿命期具有百万次循环，且输出功率高，以它作制动器时、反应时间仅为10分钟；形状记忆合金还已成功在应用于卫星天线等、医学等领域。另外，还有压电材料、磁致伸缩材料、导电高分子材料、电流变液和磁流变液等智能材料驱动组件材料等功能材料。</w:t>
      </w:r>
    </w:p>
    <w:p>
      <w:pPr>
        <w:pStyle w:val="128"/>
      </w:pPr>
      <w:r>
        <w:rPr>
          <w:rFonts w:hint="eastAsia"/>
        </w:rPr>
        <w:t>渭南</w:t>
      </w:r>
      <w:r>
        <w:t>在智能材料产业的选择上，应结合自身</w:t>
      </w:r>
      <w:r>
        <w:rPr>
          <w:rFonts w:hint="eastAsia"/>
        </w:rPr>
        <w:t>产业</w:t>
      </w:r>
      <w:r>
        <w:t>发展方向，针对能源化工、食品医药、新能源、通用航空、装备制造以及人民生活广泛应用的</w:t>
      </w:r>
      <w:r>
        <w:rPr>
          <w:rFonts w:hint="eastAsia"/>
        </w:rPr>
        <w:t>方向</w:t>
      </w:r>
      <w:r>
        <w:t>选择智能材料</w:t>
      </w:r>
      <w:r>
        <w:rPr>
          <w:rFonts w:hint="eastAsia"/>
        </w:rPr>
        <w:t>的</w:t>
      </w:r>
      <w:r>
        <w:t>研究类别</w:t>
      </w:r>
      <w:r>
        <w:rPr>
          <w:rFonts w:hint="eastAsia"/>
        </w:rPr>
        <w:t>进行</w:t>
      </w:r>
      <w:r>
        <w:t>重点技术引进</w:t>
      </w:r>
      <w:r>
        <w:rPr>
          <w:rFonts w:hint="eastAsia"/>
        </w:rPr>
        <w:t>。</w:t>
      </w:r>
    </w:p>
    <w:p>
      <w:pPr>
        <w:pStyle w:val="127"/>
      </w:pPr>
      <w:r>
        <w:rPr>
          <w:rFonts w:hint="eastAsia"/>
        </w:rPr>
        <w:t>电子信息材料</w:t>
      </w:r>
    </w:p>
    <w:p>
      <w:pPr>
        <w:pStyle w:val="128"/>
      </w:pPr>
      <w:r>
        <w:rPr>
          <w:rFonts w:hint="eastAsia"/>
        </w:rPr>
        <w:t>电子信息材料是指在微电子、光电子技术和新型元器件基础产品领域中所用的材料，主要包括单晶硅为代表的半导体微电子材料；激光晶体为代表的光电子材料；介质陶瓷和热敏陶瓷为代表的电子陶瓷材料；钕铁硼（NdFeB）永磁材料为代表的磁性材料；光纤通信材料；磁存储和光盘存储为主的数据存储材料；压电晶体与薄膜材料；贮氢材料和锂离子嵌入材料为代表的绿色电池材料等。这些基础材料及其产品支撑着通信、计算机、信息家电与网络技术等现代信息产业的发展。</w:t>
      </w:r>
    </w:p>
    <w:p>
      <w:pPr>
        <w:pStyle w:val="128"/>
      </w:pPr>
      <w:r>
        <w:rPr>
          <w:rFonts w:hint="eastAsia"/>
        </w:rPr>
        <w:t>电子信息材料的总体发展趋势是向着大尺寸、高均匀性、高完整性、以及薄膜化、多功能化和集成化方向发展。当前的研究热点和技术前沿包括柔性晶体管、光子晶体、SiC、GaN、ZnSe等宽禁带半导体材料为代表的第三代半导体材料、有机显示材料以及各种纳米电子材料等。电子信息材料及产品支撑着现代通信、计算机、信息网络技术、微机械智能系统、工业自动化和家电等现代高技术产业。电子信息材料产业的发展规模和技术水平，已经成为衡量一个国家经济发展、科技进步和国防实力的重要标志，在国民经济中具有重要战略地位，是科技创新和国际竞争最为激烈的材料领域。</w:t>
      </w:r>
    </w:p>
    <w:p>
      <w:pPr>
        <w:pStyle w:val="128"/>
      </w:pPr>
      <w:r>
        <w:rPr>
          <w:rFonts w:hint="eastAsia"/>
        </w:rPr>
        <w:t>随着电子学向光电子学、光子学迈进，微电子材料在未来10-15年仍是最基本的信息材料，光电子材料、光子材料将成为发展最快和最有前途的信息材料。电子、光电子功能单晶将向着大尺寸、高均匀性、晶格高完整性以及元器件向薄膜化、多功能化、片式化、超高集成度和低能耗方向发展。</w:t>
      </w:r>
    </w:p>
    <w:p>
      <w:pPr>
        <w:pStyle w:val="128"/>
      </w:pPr>
      <w:r>
        <w:rPr>
          <w:rFonts w:hint="eastAsia"/>
        </w:rPr>
        <w:t>（1）集成电路和半导体器件用材料由单片集成向系统集成发展。</w:t>
      </w:r>
    </w:p>
    <w:p>
      <w:pPr>
        <w:pStyle w:val="128"/>
      </w:pPr>
      <w:r>
        <w:rPr>
          <w:rFonts w:hint="eastAsia"/>
        </w:rPr>
        <w:t>微电子技术发展的主要途径是通过不断缩小器件的特征尺寸，增加芯片面积以提高集成度和信息处理速度，由单片集成向系统集成发展。</w:t>
      </w:r>
    </w:p>
    <w:p>
      <w:pPr>
        <w:pStyle w:val="128"/>
      </w:pPr>
      <w:r>
        <w:rPr>
          <w:rFonts w:hint="eastAsia"/>
        </w:rPr>
        <w:t>（2）光电子材料向纳米结构、非均值、非线性和非平衡态发展。</w:t>
      </w:r>
    </w:p>
    <w:p>
      <w:pPr>
        <w:pStyle w:val="128"/>
      </w:pPr>
      <w:r>
        <w:rPr>
          <w:rFonts w:hint="eastAsia"/>
        </w:rPr>
        <w:t>光电集成将是21世纪光电子技术发展的一个重要方向。光电子材料是发展光电信息技术的先导和基础。材料尺度逐步低维化——由体材料向薄层、超薄层和纳米结构材料的方向发展，材料系统由均质到非均质、工作特性由线性向非线性，由平衡态向非平衡态发展是其最明显的特征。发展重点将主要集中在激光材料、红外探测器材料、液晶显示材料、高亮度发光二极管材料、光纤材料。</w:t>
      </w:r>
    </w:p>
    <w:p>
      <w:pPr>
        <w:pStyle w:val="128"/>
      </w:pPr>
      <w:r>
        <w:rPr>
          <w:rFonts w:hint="eastAsia"/>
        </w:rPr>
        <w:t>（3）新型电子元器件用材料主要向小型化、片式化方向发展。</w:t>
      </w:r>
    </w:p>
    <w:p>
      <w:pPr>
        <w:pStyle w:val="128"/>
      </w:pPr>
      <w:r>
        <w:rPr>
          <w:rFonts w:hint="eastAsia"/>
        </w:rPr>
        <w:t>磁性材料、电子陶瓷材料、压电晶体管材料、绿色电池和材料、信息传感材料和高性能封装材料等将成为发展的重点。</w:t>
      </w:r>
    </w:p>
    <w:p>
      <w:pPr>
        <w:pStyle w:val="127"/>
      </w:pPr>
      <w:r>
        <w:rPr>
          <w:rFonts w:hint="eastAsia"/>
        </w:rPr>
        <w:t>复合材料</w:t>
      </w:r>
    </w:p>
    <w:p>
      <w:pPr>
        <w:pStyle w:val="128"/>
      </w:pPr>
      <w:r>
        <w:rPr>
          <w:rFonts w:hint="eastAsia"/>
        </w:rPr>
        <w:t>复合材料是指由两种或两种以上不同物质以不同方式组合而成的材料，它可以发挥各种材料的优点，克服单一材料的缺陷，扩大材料的应用范围。由于复合材料具有重量轻、强度高、加工成型方便、弹性优良、耐化学腐蚀和耐候性好等特点，已逐步取代木材及金属合金，广泛应用于航空航天、汽车、电子电气、建筑、健身器材等领域，在近几年更是得到了飞速发展。</w:t>
      </w:r>
    </w:p>
    <w:p>
      <w:pPr>
        <w:pStyle w:val="128"/>
      </w:pPr>
      <w:r>
        <w:t>复合材料的主要应用领域有：</w:t>
      </w:r>
      <w:r>
        <w:rPr>
          <w:rFonts w:hint="eastAsia" w:hAnsi="宋体" w:cs="宋体"/>
        </w:rPr>
        <w:t>①</w:t>
      </w:r>
      <w:r>
        <w:t>航空航天领域。由于复合材料热稳定性好，比强度、比刚度高，可用于制造飞机机翼和前机身、卫星天线及其支撑结构、太阳能电池翼和外壳、大型运载火箭的 壳体、发动机壳体、航天飞机结构件等。</w:t>
      </w:r>
      <w:r>
        <w:rPr>
          <w:rFonts w:hint="eastAsia" w:hAnsi="宋体" w:cs="宋体"/>
        </w:rPr>
        <w:t>②</w:t>
      </w:r>
      <w:r>
        <w:t>汽车工业。由于复合材料具有特殊的振动阻尼特性，可减振和降低噪声、抗疲劳性能好，损伤后易修理，便于整体成形，故可用于制造汽车车身、受力构件、传动轴、发动机架及其内部构件。</w:t>
      </w:r>
      <w:r>
        <w:rPr>
          <w:rFonts w:hint="eastAsia" w:hAnsi="宋体" w:cs="宋体"/>
        </w:rPr>
        <w:t>③</w:t>
      </w:r>
      <w:r>
        <w:t>化工、纺织和机械制造领域。有良好耐蚀性的碳纤维与树脂基体复合而成的材料，可用于制造化工设备、纺织机、造纸机、复印机、高速机床、精密仪器等。</w:t>
      </w:r>
      <w:r>
        <w:rPr>
          <w:rFonts w:hint="eastAsia" w:hAnsi="宋体" w:cs="宋体"/>
        </w:rPr>
        <w:t>④</w:t>
      </w:r>
      <w:r>
        <w:t>医学领域。碳纤维复合材料具有优异的力学性能和不吸收X射线特性，可用于制造医用X光机和矫形支架等。碳纤维复合材料还具有生物组织相容性和血液相容性，生物环境下稳定性好，也用作生物医学材料。此外，复合材料还用于制造体育运动器件和用作建筑材料等。</w:t>
      </w:r>
    </w:p>
    <w:p>
      <w:pPr>
        <w:pStyle w:val="127"/>
      </w:pPr>
      <w:r>
        <w:rPr>
          <w:rFonts w:hint="eastAsia"/>
        </w:rPr>
        <w:t>无机非金属新材料</w:t>
      </w:r>
    </w:p>
    <w:p>
      <w:pPr>
        <w:pStyle w:val="128"/>
      </w:pPr>
      <w:r>
        <w:rPr>
          <w:rFonts w:hint="eastAsia"/>
        </w:rPr>
        <w:t>无机非金属材料（inorganic nonmetallic materials）是以某些元素的氧化物、碳化物、氮化物、卤素化合物、硼化物、硅酸盐、铝酸盐、磷酸盐和硼酸盐等物质组成的材料，是除有机高分子材料和金属材料以外的所有材料的统称。常见</w:t>
      </w:r>
      <w:r>
        <w:t>种类有二氧化硅气凝胶、水泥、玻璃、陶瓷。</w:t>
      </w:r>
      <w:r>
        <w:rPr>
          <w:rFonts w:hint="eastAsia"/>
        </w:rPr>
        <w:t>传统的无机非金属材料是工业和基本建设所必需的基础材料。如水泥是一种重要的建筑材料；耐火材料与高温技术,尤其与钢铁工业的发展关系密切；各种规格的平板玻璃、仪器玻璃和普通的光学玻璃以及日用陶瓷、卫生陶瓷、建筑陶瓷、化工陶瓷和电瓷等与人们的生产、生活休戚相关。它们产量大,用途广。其他产品,如搪瓷、磨料(碳化硅、氧化铝)、铸石(辉绿岩、玄武岩等)、碳素材料、非金属矿(石棉、云母、大理石等)也都属于传统的无机非金属材料。新型无机非金属材料是20世纪中期以后发展起来的,具有特殊性能和用途的材料。它们是现代新技术、新产业、传统工业技术改造、现代国防和生物医学所不可缺少的物质基础。主要有先进陶瓷(advanced ceramics)、非晶态材料(noncrystal material〉、人工晶体〈artificial crys-tal〉、无机涂层(inorganic coating)、无机纤维(inorganic fibre〉等。与传统无机非金属材料相比，新型无机非金属材料具备耐高温、耐酸碱、强度高、硬度大以及电、磁、声、光、生物等传统无机材料所不具备的优良特性。由于它具备多种优良特性，它的应用逐渐覆盖到社会的各个领域，由于我国认识较早，我国在材料领域的研究开发已经取得了重大进展，有些方面已经达到了世界先进水平，甚至领先水平。</w:t>
      </w:r>
    </w:p>
    <w:p>
      <w:pPr>
        <w:pStyle w:val="129"/>
      </w:pPr>
      <w:r>
        <w:drawing>
          <wp:inline distT="0" distB="0" distL="0" distR="0">
            <wp:extent cx="4516120" cy="2113915"/>
            <wp:effectExtent l="0" t="0" r="17559" b="635"/>
            <wp:docPr id="33" name="图示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pPr>
        <w:pStyle w:val="137"/>
        <w:numPr>
          <w:ilvl w:val="0"/>
          <w:numId w:val="15"/>
        </w:numPr>
      </w:pPr>
      <w:r>
        <w:rPr>
          <w:rFonts w:hint="eastAsia"/>
        </w:rPr>
        <w:t>不同特性</w:t>
      </w:r>
      <w:r>
        <w:t>的新型</w:t>
      </w:r>
      <w:r>
        <w:rPr>
          <w:rFonts w:hint="eastAsia"/>
        </w:rPr>
        <w:t>无机</w:t>
      </w:r>
      <w:r>
        <w:t>非金属材料的应用方向</w:t>
      </w:r>
    </w:p>
    <w:p>
      <w:pPr>
        <w:pStyle w:val="127"/>
      </w:pPr>
      <w:r>
        <w:rPr>
          <w:rFonts w:hint="eastAsia"/>
        </w:rPr>
        <w:t>生物复合</w:t>
      </w:r>
      <w:r>
        <w:t>材料</w:t>
      </w:r>
    </w:p>
    <w:p>
      <w:pPr>
        <w:pStyle w:val="128"/>
      </w:pPr>
      <w:r>
        <w:rPr>
          <w:rFonts w:hint="eastAsia"/>
        </w:rPr>
        <w:t>生物</w:t>
      </w:r>
      <w:r>
        <w:t>复合材料由两种或两种以上的不同材料复合而成，以医疗为目的，用于诊断、治疗、修复或替换人体组织器官或增进其功能的材料。</w:t>
      </w:r>
      <w:r>
        <w:rPr>
          <w:rFonts w:hint="eastAsia"/>
        </w:rPr>
        <w:t>生物</w:t>
      </w:r>
      <w:r>
        <w:t>医用材料是研究人工器官和医疗器械的基础，目前已成为材料</w:t>
      </w:r>
      <w:r>
        <w:rPr>
          <w:rFonts w:hint="eastAsia"/>
        </w:rPr>
        <w:t>科学</w:t>
      </w:r>
      <w:r>
        <w:t>的重要分支，尤其是随着生物技术的蓬勃发展和重大突破，生物材料已成为各国科学家进行研究和开发的热点。</w:t>
      </w:r>
    </w:p>
    <w:p>
      <w:pPr>
        <w:pStyle w:val="128"/>
      </w:pPr>
      <w:r>
        <w:rPr>
          <w:rFonts w:hint="eastAsia"/>
        </w:rPr>
        <w:t>由于</w:t>
      </w:r>
      <w:r>
        <w:t>生物医用材料</w:t>
      </w:r>
      <w:r>
        <w:rPr>
          <w:rFonts w:hint="eastAsia"/>
        </w:rPr>
        <w:t>直接用于</w:t>
      </w:r>
      <w:r>
        <w:t>人体或与人体健康密切相关</w:t>
      </w:r>
      <w:r>
        <w:rPr>
          <w:rFonts w:hint="eastAsia"/>
        </w:rPr>
        <w:t>，</w:t>
      </w:r>
      <w:r>
        <w:t>因此对生物医用材料的使用有严格要求。首先</w:t>
      </w:r>
      <w:r>
        <w:rPr>
          <w:rFonts w:hint="eastAsia"/>
        </w:rPr>
        <w:t>，</w:t>
      </w:r>
      <w:r>
        <w:t>生物医用材料应具有良好的血液相容性和组织相容性。其次</w:t>
      </w:r>
      <w:r>
        <w:rPr>
          <w:rFonts w:hint="eastAsia"/>
        </w:rPr>
        <w:t>，</w:t>
      </w:r>
      <w:r>
        <w:t>要求耐生物老化，即对长期植入的材料，其生物稳定性要好；对于暂时植入的材料，要求在确定时间内可被人体吸收或代谢的五毒单体或片段；同时，还要求具有稳定的物理学及力学性质、</w:t>
      </w:r>
      <w:r>
        <w:rPr>
          <w:rFonts w:hint="eastAsia"/>
        </w:rPr>
        <w:t>易于加工</w:t>
      </w:r>
      <w:r>
        <w:t>成型、价格适当。此外</w:t>
      </w:r>
      <w:r>
        <w:rPr>
          <w:rFonts w:hint="eastAsia"/>
        </w:rPr>
        <w:t>，</w:t>
      </w:r>
      <w:r>
        <w:t>还必须考虑易于消毒灭菌、无毒、不致癌、不致畸。对于</w:t>
      </w:r>
      <w:r>
        <w:rPr>
          <w:rFonts w:hint="eastAsia"/>
        </w:rPr>
        <w:t>不同</w:t>
      </w:r>
      <w:r>
        <w:t>用途的材料，其要求各有侧重。</w:t>
      </w:r>
    </w:p>
    <w:p>
      <w:pPr>
        <w:pStyle w:val="128"/>
      </w:pPr>
      <w:r>
        <w:rPr>
          <w:rFonts w:hint="eastAsia"/>
        </w:rPr>
        <w:t>目前</w:t>
      </w:r>
      <w:r>
        <w:t>临床上应用的生物医用材料主要有：生物医用金属材料、生物医用高分子材料、生物医用</w:t>
      </w:r>
      <w:r>
        <w:rPr>
          <w:rFonts w:hint="eastAsia"/>
        </w:rPr>
        <w:t>无机非金属材料</w:t>
      </w:r>
      <w:r>
        <w:t>、生物医用复合材料和生物衍生材料等。</w:t>
      </w:r>
      <w:r>
        <w:rPr>
          <w:rFonts w:hint="eastAsia"/>
        </w:rPr>
        <w:t>生物</w:t>
      </w:r>
      <w:r>
        <w:t>医用复合材料的研究和临床应用主要经历了三个发展阶段</w:t>
      </w:r>
      <w:r>
        <w:rPr>
          <w:rFonts w:hint="eastAsia"/>
        </w:rPr>
        <w:t>，</w:t>
      </w:r>
      <w:r>
        <w:t>第三代的生物医用复合材料融合了前两代的优势，具有生物活性和生物降解性双重性能</w:t>
      </w:r>
      <w:r>
        <w:rPr>
          <w:rFonts w:hint="eastAsia"/>
        </w:rPr>
        <w:t>，</w:t>
      </w:r>
      <w:r>
        <w:t>已成为国际上材料前沿领域一个十分活跃的研究方向，在组织工程中已开始有广泛的临床应用。</w:t>
      </w:r>
    </w:p>
    <w:p>
      <w:pPr>
        <w:pStyle w:val="128"/>
      </w:pPr>
      <w:r>
        <w:rPr>
          <w:rFonts w:hint="eastAsia"/>
        </w:rPr>
        <w:t>随着</w:t>
      </w:r>
      <w:r>
        <w:t>生物技术、医药技术、信息技术、制造技术、纳米技术和材料科学</w:t>
      </w:r>
      <w:r>
        <w:rPr>
          <w:rFonts w:hint="eastAsia"/>
        </w:rPr>
        <w:t>技术</w:t>
      </w:r>
      <w:r>
        <w:t>的迅猛发展</w:t>
      </w:r>
      <w:r>
        <w:rPr>
          <w:rFonts w:hint="eastAsia"/>
        </w:rPr>
        <w:t>与</w:t>
      </w:r>
      <w:r>
        <w:t>交互融合，新型和新概念生物医用材料层出不穷。药物</w:t>
      </w:r>
      <w:r>
        <w:rPr>
          <w:rFonts w:hint="eastAsia"/>
        </w:rPr>
        <w:t>控制</w:t>
      </w:r>
      <w:r>
        <w:t>释放材料、组织工程材料、纳米生物材料、生物活性材料、接入诊断和治疗材料、可降解和吸收生物材料、新型人造器官、人造血液等代表了新的发展趋势和方向。</w:t>
      </w:r>
    </w:p>
    <w:p>
      <w:pPr>
        <w:pStyle w:val="127"/>
      </w:pPr>
      <w:r>
        <w:rPr>
          <w:rFonts w:hint="eastAsia"/>
        </w:rPr>
        <w:t>绿色</w:t>
      </w:r>
      <w:r>
        <w:t>建材</w:t>
      </w:r>
    </w:p>
    <w:p>
      <w:pPr>
        <w:pStyle w:val="128"/>
      </w:pPr>
      <w:r>
        <w:rPr>
          <w:rFonts w:hint="eastAsia"/>
        </w:rPr>
        <w:t>环境问题与材料密切相关。1988年第一届国际材料科学研究会上首次提出了“绿色材料”的概念。1992年，国际学术界明确提出绿色材料的定义：绿色材料指在原料采取、产品制造、使用或者再循环以及废料处理等环节中对地球环境负荷为最小和利于人类健康的材料，亦称之为“环境调和材料”。建材工业是国民经济非常重要的基础性产业，是天然资源和能源资源消耗最高、破坏绿色土地最多、对大气污染最为严重的行业之一。绿色建材又称生态建材、环保建材和健康建材等。绿色建材是指采用清洁生产技术，少用天然资源和能源，大量使用工业或城市固态废弃物生产的无毒害、无污染、无放射性，有利于环境保护和人体健康的建筑材料。</w:t>
      </w:r>
    </w:p>
    <w:p>
      <w:pPr>
        <w:pStyle w:val="128"/>
      </w:pPr>
      <w:r>
        <w:rPr>
          <w:rFonts w:hint="eastAsia"/>
        </w:rPr>
        <w:t>绿色建材与传统建材相比可归纳以下五个方面的基本特征：①其生产所用原料尽可能少用天然资源，大量使用尾矿、废渣、垃圾废液等废弃物。②采用低能耗制造工艺和无污染环境的生产技术。③在产品配制或生产过程中，不得使用甲醛、卤化物溶剂或芳香族碳氢化合物；产品中不得含有汞及其化合物；不得用铅、镉、铬及其化合物的颜料和添加剂。④产品的设计是以改善生产环境、提高生活质量为宗旨，即产品不仅不损害人体健康，而应有益于人体健康，产品具有多功能化，如抗菌、灭菌、防霉、除臭、隔热、阻燃、防火、调温、调湿、消磁、防射线、抗静电等。⑤产品可循环或回收利用，无污染环境的废弃物，绿色建材满足可持续发展的需要，做到了发展与环境的统一，当今与长远的结合。我们要以战略的眼光、时代的紧迫感和历史责任感努力促进各种绿色建材的发展，以绿色建材建筑健康一安全一舒适一美观的建筑和室内环境，造福于社会，造福于人民。</w:t>
      </w:r>
    </w:p>
    <w:p>
      <w:pPr>
        <w:pStyle w:val="128"/>
      </w:pPr>
      <w:r>
        <w:rPr>
          <w:rFonts w:hint="eastAsia"/>
        </w:rPr>
        <w:t>几十年来我国建材工业走的是一条高能耗、高资源消耗、高污染的道路，是一个环境污染严重、生态破坏较大的行业。因此，提高对可持续发展战略重要性的认识，努力发展绿色建材、生态建材、环保建材，从根本上改变我国建材工业长期以来存在的高投入、高污染、低效益的粗放式生产方式，选择资源节约型、污染最低型、质量效益型、科技先导型的发展方式，把建材工业的发展和保护生态环境、污染治理有机结合起来，是21世纪我国建材工业的战略目标，是历史赋予我们的光荣而艰巨的责任。</w:t>
      </w:r>
    </w:p>
    <w:p>
      <w:pPr>
        <w:pStyle w:val="125"/>
      </w:pPr>
      <w:bookmarkStart w:id="103" w:name="_Toc19978"/>
      <w:r>
        <w:rPr>
          <w:rFonts w:hint="eastAsia"/>
        </w:rPr>
        <w:t>华州区</w:t>
      </w:r>
      <w:r>
        <w:t>钼基新材料产业集群</w:t>
      </w:r>
      <w:bookmarkEnd w:id="103"/>
    </w:p>
    <w:p>
      <w:pPr>
        <w:pStyle w:val="128"/>
      </w:pPr>
      <w:r>
        <w:rPr>
          <w:rFonts w:hint="eastAsia"/>
        </w:rPr>
        <w:t>钼</w:t>
      </w:r>
      <w:r>
        <w:t>是一种难熔稀有金属，</w:t>
      </w:r>
      <w:r>
        <w:rPr>
          <w:rFonts w:hint="eastAsia"/>
        </w:rPr>
        <w:t>自</w:t>
      </w:r>
      <w:r>
        <w:t>1778</w:t>
      </w:r>
      <w:r>
        <w:rPr>
          <w:rFonts w:hint="eastAsia"/>
        </w:rPr>
        <w:t>年瑞典科学家</w:t>
      </w:r>
      <w:r>
        <w:t>C.W.SCHEELE</w:t>
      </w:r>
      <w:r>
        <w:rPr>
          <w:rFonts w:hint="eastAsia"/>
        </w:rPr>
        <w:t>发现钼元素之后，经过十余年努力</w:t>
      </w:r>
      <w:r>
        <w:t>M.MOISSAN</w:t>
      </w:r>
      <w:r>
        <w:rPr>
          <w:rFonts w:hint="eastAsia"/>
        </w:rPr>
        <w:t>才用电炉制得金属钼，使人类第一次得到这种具有许多优良物理化学和机械性能的金属。钼的熔点为</w:t>
      </w:r>
      <w:r>
        <w:t>2620</w:t>
      </w:r>
      <w:r>
        <w:rPr>
          <w:rFonts w:hint="eastAsia"/>
        </w:rPr>
        <w:t>℃，由于原子间结合力极强，所以在常温和高温下强度都很高。它的膨胀系数小，导电率大，导热性能好。在常温下不与盐酸、氢氟酸及碱溶液反应，仅溶于硝酸、王水或浓硫酸之中，对大多数液态金属、非金属熔渣和熔融玻璃亦相当稳定。因此，钼及其合金在冶金、农业、电气、化工、环保和宇航等重要部门有着广泛的应用和良好的前景，成为国民经济中一种重要的原料和不可替代的战略物质。</w:t>
      </w:r>
    </w:p>
    <w:p>
      <w:pPr>
        <w:pStyle w:val="128"/>
      </w:pPr>
      <w:r>
        <w:rPr>
          <w:rFonts w:hint="eastAsia"/>
        </w:rPr>
        <w:t>钼的消费形式以工业三氧化钼为主，约占70%，钼铁约占20%，金属钼和钼化学制品各占5%。其应用领域和分配比例大概如下：钢铁冶炼消费约占80%（其中合金钢约为43%，不锈钢约为23%，工具钢和高速钢约8%，铸铁和轧辊约为6%），化工产品约占10%，金属钼制品消费约占6%，高温高强度合金和特殊合金约占3%，其他钼制品约为1%。随着科学技术的发展，钼在高科技和其他领域的应用将会不断地扩大和发展。</w:t>
      </w:r>
    </w:p>
    <w:p>
      <w:pPr>
        <w:pStyle w:val="126"/>
      </w:pPr>
      <w:r>
        <w:rPr>
          <w:rFonts w:hint="eastAsia"/>
        </w:rPr>
        <w:t>钼工业</w:t>
      </w:r>
      <w:r>
        <w:t>发展现状</w:t>
      </w:r>
    </w:p>
    <w:p>
      <w:pPr>
        <w:pStyle w:val="128"/>
      </w:pPr>
      <w:r>
        <w:rPr>
          <w:rFonts w:hint="eastAsia"/>
        </w:rPr>
        <w:t>钼在地球上的蕴藏量较少，其含量仅占地壳重量的0.001%，钼矿总储量约为1500万吨，主要分布在美国、中国、智利、俄罗斯、加拿大等国。我国已探明的钼金属储量为172万吨，基础储量为343万吨，仅次于美国而居世界第二位。钼矿集中分布在陕西、河南、吉林和辽宁等四省。世界上金属储量在50万吨以上的特大型钼矿共有六个，我国的河南栾川、吉林大黑山和陕西金堆城三大钼矿榜上有名。丰富的钼资源，为我国发展钼的冶炼和加工，大力推广钼的应用，提供了极为有利的条件和坚实的基础。</w:t>
      </w:r>
    </w:p>
    <w:p>
      <w:pPr>
        <w:pStyle w:val="127"/>
      </w:pPr>
      <w:r>
        <w:rPr>
          <w:rFonts w:hint="eastAsia"/>
        </w:rPr>
        <w:t>我</w:t>
      </w:r>
      <w:r>
        <w:t>国</w:t>
      </w:r>
      <w:r>
        <w:rPr>
          <w:rFonts w:hint="eastAsia"/>
        </w:rPr>
        <w:t>钼</w:t>
      </w:r>
      <w:r>
        <w:t>产业发展现状</w:t>
      </w:r>
    </w:p>
    <w:p>
      <w:pPr>
        <w:pStyle w:val="128"/>
      </w:pPr>
      <w:r>
        <w:rPr>
          <w:rFonts w:hint="eastAsia"/>
        </w:rPr>
        <w:t>我国的工业氧化钼生产主要集中在陕西金堆城、河南洛阳、辽宁葫芦岛等地区；钼铁生产主要集中在辽宁葫芦岛、河南洛阳、江苏徐州等地区。据调查，我国工业氧化钼和钼铁加工企业有</w:t>
      </w:r>
      <w:r>
        <w:t>200</w:t>
      </w:r>
      <w:r>
        <w:rPr>
          <w:rFonts w:hint="eastAsia"/>
        </w:rPr>
        <w:t>多家，但产量千吨以上的企业不到</w:t>
      </w:r>
      <w:r>
        <w:t>50</w:t>
      </w:r>
      <w:r>
        <w:rPr>
          <w:rFonts w:hint="eastAsia"/>
        </w:rPr>
        <w:t>家。</w:t>
      </w:r>
    </w:p>
    <w:p>
      <w:pPr>
        <w:pStyle w:val="128"/>
      </w:pPr>
      <w:r>
        <w:rPr>
          <w:rFonts w:hint="eastAsia"/>
        </w:rPr>
        <w:t>我国是钼生产量大、消费量小的国家，约</w:t>
      </w:r>
      <w:r>
        <w:t>2/3</w:t>
      </w:r>
      <w:r>
        <w:rPr>
          <w:rFonts w:hint="eastAsia"/>
        </w:rPr>
        <w:t>的钼出口，其占世界钼供应量的</w:t>
      </w:r>
      <w:r>
        <w:t>28 %</w:t>
      </w:r>
      <w:r>
        <w:rPr>
          <w:rFonts w:hint="eastAsia"/>
        </w:rPr>
        <w:t>左右。由于目前国内的消费需求只占产量的</w:t>
      </w:r>
      <w:r>
        <w:t>20%</w:t>
      </w:r>
      <w:r>
        <w:rPr>
          <w:rFonts w:hint="eastAsia"/>
        </w:rPr>
        <w:t>左右，因此主要依靠国际市场。目前我国的钼产品继续依靠于单一的市场，其中主要是欧洲市场，因为我国是世界上最大的钼产品出口国，而欧洲则是消费的主要市场。</w:t>
      </w:r>
    </w:p>
    <w:p>
      <w:pPr>
        <w:pStyle w:val="128"/>
      </w:pPr>
      <w:r>
        <w:rPr>
          <w:rFonts w:hint="eastAsia"/>
        </w:rPr>
        <w:t>我国钼工业存在的主要问题有</w:t>
      </w:r>
      <w:r>
        <w:t>：</w:t>
      </w:r>
    </w:p>
    <w:p>
      <w:pPr>
        <w:pStyle w:val="128"/>
      </w:pPr>
      <w:r>
        <w:rPr>
          <w:rFonts w:hint="eastAsia"/>
        </w:rPr>
        <w:t>一是产品结构不合理。目前，我国钼产品结构不够合理，各种钼产品的产量排列依次为钼铁、氧化钼、钼化工和钼金属。钼铁、氧化钼等初级产品所占比例过大，钼化工和钼金属产品在钼工业的整体布局上所占比例很小。从整个钼金属产品结构来看，技术含量较高的产品较少。在金属材料工业中，丝材所占比例大，材料和型材所占比例小，纯钼所占比例大，钼合金所占比例小，在加工深度上，还只能做到“材”，很少做到“件”。</w:t>
      </w:r>
    </w:p>
    <w:p>
      <w:pPr>
        <w:pStyle w:val="128"/>
      </w:pPr>
      <w:r>
        <w:rPr>
          <w:rFonts w:hint="eastAsia"/>
        </w:rPr>
        <w:t>二是钼产品废弃物回收利用率低。</w:t>
      </w:r>
      <w:r>
        <w:t>19</w:t>
      </w:r>
      <w:r>
        <w:rPr>
          <w:rFonts w:hint="eastAsia"/>
        </w:rPr>
        <w:t>世纪</w:t>
      </w:r>
      <w:r>
        <w:t>50</w:t>
      </w:r>
      <w:r>
        <w:rPr>
          <w:rFonts w:hint="eastAsia"/>
        </w:rPr>
        <w:t>年代，国外就开始了废弃钼金属的回收利用。到了</w:t>
      </w:r>
      <w:r>
        <w:t>20</w:t>
      </w:r>
      <w:r>
        <w:rPr>
          <w:rFonts w:hint="eastAsia"/>
        </w:rPr>
        <w:t>世纪</w:t>
      </w:r>
      <w:r>
        <w:t>80</w:t>
      </w:r>
      <w:r>
        <w:rPr>
          <w:rFonts w:hint="eastAsia"/>
        </w:rPr>
        <w:t>年代，出现了专业化的再生钼金属工业。美国虽然是钼储藏量最大的国家，但其对钼的合理回收利用非常重视。在美国，由金属钼或超级合金中间回收再生钼量虽小，但从合金钢回收钼量较大，而且从新旧钼材料中回收利用钼量估计为钼供应量的</w:t>
      </w:r>
      <w:r>
        <w:t>30%</w:t>
      </w:r>
      <w:r>
        <w:rPr>
          <w:rFonts w:hint="eastAsia"/>
        </w:rPr>
        <w:t>。</w:t>
      </w:r>
    </w:p>
    <w:p>
      <w:pPr>
        <w:pStyle w:val="127"/>
      </w:pPr>
      <w:r>
        <w:rPr>
          <w:rFonts w:hint="eastAsia"/>
        </w:rPr>
        <w:t>渭南市</w:t>
      </w:r>
      <w:r>
        <w:t>钼</w:t>
      </w:r>
      <w:r>
        <w:rPr>
          <w:rFonts w:hint="eastAsia"/>
        </w:rPr>
        <w:t>产业发展</w:t>
      </w:r>
      <w:r>
        <w:t>现状</w:t>
      </w:r>
    </w:p>
    <w:p>
      <w:pPr>
        <w:pStyle w:val="128"/>
      </w:pPr>
      <w:r>
        <w:rPr>
          <w:rFonts w:hint="eastAsia"/>
        </w:rPr>
        <w:t>渭南市华州区南部山区矿产蕴藏丰富，金堆城地区已探明钼资源矿石量14亿吨，矿已探明储量150万吨，居全国第二位，年产钼精粉1.5万吨，约占全国产量一半，是亚洲最大的钼精粉生产基地。华州区的钼产品85%以上出口，年可出口创汇8.5亿元，出口创汇占到全省的1/5，占世界钼冶金炉料市场份额的8%-10%，产品遍布欧洲、日本、美国、韩国、南非、澳大利亚、印度等世界各地。</w:t>
      </w:r>
    </w:p>
    <w:p>
      <w:pPr>
        <w:pStyle w:val="128"/>
      </w:pPr>
      <w:r>
        <w:rPr>
          <w:rFonts w:hint="eastAsia"/>
        </w:rPr>
        <w:t>华州区钼工业取得的骄人业绩，引起了中国矿业联合会的关注。中国矿业联合会于2005年向华县提出了申报“中国钼业之都—华县金堆城”的建议，华县政府积极响应，于2005年先后两次赴北京进行申报陈述。2006年8月中国矿业联合会深入华县，经过严格细致的实地考察后，决定授予华县“中国钼业之都—华县金堆城”的称号。</w:t>
      </w:r>
    </w:p>
    <w:p>
      <w:pPr>
        <w:pStyle w:val="128"/>
      </w:pPr>
      <w:r>
        <w:rPr>
          <w:rFonts w:hint="eastAsia"/>
        </w:rPr>
        <w:t>华州区经过</w:t>
      </w:r>
      <w:r>
        <w:t>这些年的发展，已经初步形成了</w:t>
      </w:r>
      <w:r>
        <w:rPr>
          <w:rFonts w:hint="eastAsia"/>
        </w:rPr>
        <w:t>国家级</w:t>
      </w:r>
      <w:r>
        <w:t>钼业生产基地，</w:t>
      </w:r>
      <w:r>
        <w:rPr>
          <w:rFonts w:hint="eastAsia"/>
        </w:rPr>
        <w:t>华州区钼矿</w:t>
      </w:r>
      <w:r>
        <w:t>产业主要由金堆城钼业集团开发建设</w:t>
      </w:r>
      <w:r>
        <w:rPr>
          <w:rFonts w:hint="eastAsia"/>
        </w:rPr>
        <w:t>，</w:t>
      </w:r>
      <w:r>
        <w:t>目前仍以</w:t>
      </w:r>
      <w:r>
        <w:rPr>
          <w:rFonts w:hint="eastAsia"/>
        </w:rPr>
        <w:t>钼矿</w:t>
      </w:r>
      <w:r>
        <w:t>开采，钼精粉生产</w:t>
      </w:r>
      <w:r>
        <w:rPr>
          <w:rFonts w:hint="eastAsia"/>
        </w:rPr>
        <w:t>等</w:t>
      </w:r>
      <w:r>
        <w:t>初级产业为主</w:t>
      </w:r>
      <w:r>
        <w:rPr>
          <w:rFonts w:hint="eastAsia"/>
        </w:rPr>
        <w:t>。</w:t>
      </w:r>
    </w:p>
    <w:p>
      <w:pPr>
        <w:pStyle w:val="129"/>
      </w:pPr>
      <w:r>
        <w:drawing>
          <wp:inline distT="0" distB="0" distL="0" distR="0">
            <wp:extent cx="5273675" cy="1952625"/>
            <wp:effectExtent l="0" t="0" r="3175" b="0"/>
            <wp:docPr id="28" name="图片 28" descr="E:\20160802 渭南市新能源新材料产业规划\02 查找资料\华县钼业之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E:\20160802 渭南市新能源新材料产业规划\02 查找资料\华县钼业之都.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5274310" cy="1952819"/>
                    </a:xfrm>
                    <a:prstGeom prst="rect">
                      <a:avLst/>
                    </a:prstGeom>
                    <a:noFill/>
                    <a:ln>
                      <a:noFill/>
                    </a:ln>
                  </pic:spPr>
                </pic:pic>
              </a:graphicData>
            </a:graphic>
          </wp:inline>
        </w:drawing>
      </w:r>
    </w:p>
    <w:p>
      <w:pPr>
        <w:pStyle w:val="137"/>
        <w:numPr>
          <w:ilvl w:val="0"/>
          <w:numId w:val="15"/>
        </w:numPr>
      </w:pPr>
      <w:r>
        <w:rPr>
          <w:rFonts w:hint="eastAsia"/>
        </w:rPr>
        <w:t>中国钼业之都</w:t>
      </w:r>
      <w:r>
        <w:t>—亚洲最大</w:t>
      </w:r>
      <w:r>
        <w:rPr>
          <w:rFonts w:hint="eastAsia"/>
        </w:rPr>
        <w:t>钼</w:t>
      </w:r>
      <w:r>
        <w:t>露天采矿场</w:t>
      </w:r>
    </w:p>
    <w:p>
      <w:pPr>
        <w:pStyle w:val="126"/>
      </w:pPr>
      <w:r>
        <w:rPr>
          <w:rFonts w:hint="eastAsia"/>
        </w:rPr>
        <w:t>渭南钼基新材料</w:t>
      </w:r>
      <w:r>
        <w:t>产业发展</w:t>
      </w:r>
      <w:r>
        <w:rPr>
          <w:rFonts w:hint="eastAsia"/>
        </w:rPr>
        <w:t>思路</w:t>
      </w:r>
    </w:p>
    <w:p>
      <w:pPr>
        <w:pStyle w:val="128"/>
      </w:pPr>
      <w:r>
        <w:rPr>
          <w:rFonts w:hint="eastAsia"/>
        </w:rPr>
        <w:t>由于</w:t>
      </w:r>
      <w:r>
        <w:t>钼矿产资源的稀缺性和不可再生性，</w:t>
      </w:r>
      <w:r>
        <w:rPr>
          <w:rFonts w:hint="eastAsia"/>
        </w:rPr>
        <w:t>华州区</w:t>
      </w:r>
      <w:r>
        <w:t>钼产业发展思路以</w:t>
      </w:r>
      <w:r>
        <w:rPr>
          <w:rFonts w:hint="eastAsia"/>
        </w:rPr>
        <w:t>“存量优化”为主</w:t>
      </w:r>
      <w:r>
        <w:t>，依靠优势特色资源，做大做强钼</w:t>
      </w:r>
      <w:r>
        <w:rPr>
          <w:rFonts w:hint="eastAsia"/>
        </w:rPr>
        <w:t>产业</w:t>
      </w:r>
      <w:r>
        <w:t>，推进华州金钼集团数字矿山建设，促进钼产业由初级产品开采向精细产品和高附加值产品延伸，建设国家级钼及钼化工、钼合金产业集聚区</w:t>
      </w:r>
      <w:r>
        <w:rPr>
          <w:rFonts w:hint="eastAsia"/>
        </w:rPr>
        <w:t>，</w:t>
      </w:r>
      <w:r>
        <w:t>打造</w:t>
      </w:r>
      <w:r>
        <w:rPr>
          <w:rFonts w:hint="eastAsia"/>
        </w:rPr>
        <w:t>“中国钼都”。</w:t>
      </w:r>
    </w:p>
    <w:p>
      <w:pPr>
        <w:pStyle w:val="129"/>
      </w:pPr>
      <w:r>
        <w:pict>
          <v:rect id="_x0000_s1086" o:spid="_x0000_s1086" o:spt="1" style="position:absolute;left:0pt;margin-left:173.05pt;margin-top:93.55pt;height:18.05pt;width:38pt;z-index:251667456;mso-width-relative:page;mso-height-relative:page;" fillcolor="#92D050" filled="t" stroked="t" coordsize="21600,21600">
            <v:path/>
            <v:fill on="t" opacity="13107f" focussize="0,0"/>
            <v:stroke weight="0.5pt" color="#9BBB59" miterlimit="2"/>
            <v:imagedata o:title=""/>
            <o:lock v:ext="edit"/>
          </v:rect>
        </w:pict>
      </w:r>
      <w:r>
        <w:pict>
          <v:rect id="_x0000_s1085" o:spid="_x0000_s1085" o:spt="1" style="position:absolute;left:0pt;margin-left:231.55pt;margin-top:69.9pt;height:18.05pt;width:59.05pt;z-index:251666432;mso-width-relative:page;mso-height-relative:page;" fillcolor="#92D050" filled="t" stroked="t" coordsize="21600,21600">
            <v:path/>
            <v:fill on="t" opacity="13107f" focussize="0,0"/>
            <v:stroke weight="0.5pt" color="#9BBB59" miterlimit="2"/>
            <v:imagedata o:title=""/>
            <o:lock v:ext="edit"/>
          </v:rect>
        </w:pict>
      </w:r>
      <w:r>
        <w:pict>
          <v:rect id="_x0000_s1084" o:spid="_x0000_s1084" o:spt="1" style="position:absolute;left:0pt;margin-left:304.85pt;margin-top:65.65pt;height:18.05pt;width:29pt;z-index:251665408;mso-width-relative:page;mso-height-relative:page;" fillcolor="#92D050" filled="t" stroked="t" coordsize="21600,21600">
            <v:path/>
            <v:fill on="t" opacity="13107f" focussize="0,0"/>
            <v:stroke weight="0.5pt" color="#9BBB59" miterlimit="2"/>
            <v:imagedata o:title=""/>
            <o:lock v:ext="edit"/>
          </v:rect>
        </w:pict>
      </w:r>
      <w:r>
        <w:pict>
          <v:rect id="_x0000_s1083" o:spid="_x0000_s1083" o:spt="1" style="position:absolute;left:0pt;margin-left:347.75pt;margin-top:94.9pt;height:18.05pt;width:33.15pt;z-index:251664384;mso-width-relative:page;mso-height-relative:page;" fillcolor="#92D050" filled="t" stroked="t" coordsize="21600,21600">
            <v:path/>
            <v:fill on="t" opacity="13107f" focussize="0,0"/>
            <v:stroke weight="0.5pt" color="#9BBB59" miterlimit="2"/>
            <v:imagedata o:title=""/>
            <o:lock v:ext="edit"/>
          </v:rect>
        </w:pict>
      </w:r>
      <w:r>
        <w:pict>
          <v:rect id="_x0000_s1082" o:spid="_x0000_s1082" o:spt="1" style="position:absolute;left:0pt;margin-left:347.75pt;margin-top:65.65pt;height:18.05pt;width:33.15pt;z-index:251663360;mso-width-relative:page;mso-height-relative:page;" fillcolor="#92D050" filled="t" stroked="t" coordsize="21600,21600">
            <v:path/>
            <v:fill on="t" opacity="13107f" focussize="0,0"/>
            <v:stroke weight="0.5pt" color="#9BBB59" miterlimit="2"/>
            <v:imagedata o:title=""/>
            <o:lock v:ext="edit"/>
          </v:rect>
        </w:pict>
      </w:r>
      <w:r>
        <w:pict>
          <v:rect id="_x0000_s1081" o:spid="_x0000_s1081" o:spt="1" style="position:absolute;left:0pt;margin-left:173.05pt;margin-top:49.25pt;height:16.4pt;width:38pt;z-index:251662336;mso-width-relative:page;mso-height-relative:page;" fillcolor="#92D050" filled="t" stroked="t" coordsize="21600,21600">
            <v:path/>
            <v:fill on="t" opacity="13107f" focussize="0,0"/>
            <v:stroke weight="0.5pt" color="#9BBB59" miterlimit="2"/>
            <v:imagedata o:title=""/>
            <o:lock v:ext="edit"/>
          </v:rect>
        </w:pict>
      </w:r>
      <w:r>
        <w:pict>
          <v:rect id="_x0000_s1080" o:spid="_x0000_s1080" o:spt="1" style="position:absolute;left:0pt;margin-left:99pt;margin-top:48.45pt;height:16.4pt;width:38pt;z-index:251661312;mso-width-relative:page;mso-height-relative:page;" fillcolor="#92D050" filled="t" stroked="t" coordsize="21600,21600">
            <v:path/>
            <v:fill on="t" opacity="13107f" focussize="0,0"/>
            <v:stroke weight="0.5pt" color="#9BBB59" miterlimit="2"/>
            <v:imagedata o:title=""/>
            <o:lock v:ext="edit"/>
          </v:rect>
        </w:pict>
      </w:r>
      <w:r>
        <w:pict>
          <v:rect id="_x0000_s1079" o:spid="_x0000_s1079" o:spt="1" style="position:absolute;left:0pt;margin-left:57.6pt;margin-top:27.3pt;height:57.75pt;width:20.95pt;z-index:251660288;mso-width-relative:page;mso-height-relative:page;" fillcolor="#92D050" filled="t" stroked="t" coordsize="21600,21600">
            <v:path/>
            <v:fill on="t" opacity="13107f" focussize="0,0"/>
            <v:stroke weight="0.5pt" color="#9BBB59" miterlimit="2"/>
            <v:imagedata o:title=""/>
            <o:lock v:ext="edit"/>
          </v:rect>
        </w:pict>
      </w:r>
      <w:r>
        <w:drawing>
          <wp:inline distT="0" distB="0" distL="0" distR="0">
            <wp:extent cx="4319905" cy="1875790"/>
            <wp:effectExtent l="0" t="0" r="0" b="0"/>
            <wp:docPr id="245" name="图片 245" descr="C:\Users\12017\AppData\Roaming\Tencent\Users\497121372\QQ\WinTemp\RichOle\F@X6EBD9@I$(AW~81YQ[H3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C:\Users\12017\AppData\Roaming\Tencent\Users\497121372\QQ\WinTemp\RichOle\F@X6EBD9@I$(AW~81YQ[H3R.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4320000" cy="1876403"/>
                    </a:xfrm>
                    <a:prstGeom prst="rect">
                      <a:avLst/>
                    </a:prstGeom>
                    <a:noFill/>
                    <a:ln>
                      <a:noFill/>
                    </a:ln>
                  </pic:spPr>
                </pic:pic>
              </a:graphicData>
            </a:graphic>
          </wp:inline>
        </w:drawing>
      </w:r>
    </w:p>
    <w:p>
      <w:pPr>
        <w:pStyle w:val="137"/>
        <w:numPr>
          <w:ilvl w:val="0"/>
          <w:numId w:val="15"/>
        </w:numPr>
      </w:pPr>
      <w:r>
        <w:rPr>
          <w:rFonts w:hint="eastAsia"/>
        </w:rPr>
        <w:t>典型</w:t>
      </w:r>
      <w:r>
        <w:t>的钼</w:t>
      </w:r>
      <w:r>
        <w:rPr>
          <w:rFonts w:hint="eastAsia"/>
        </w:rPr>
        <w:t>生产</w:t>
      </w:r>
      <w:r>
        <w:t>环节示意图</w:t>
      </w:r>
    </w:p>
    <w:p>
      <w:pPr>
        <w:pStyle w:val="127"/>
      </w:pPr>
      <w:r>
        <w:rPr>
          <w:rFonts w:hint="eastAsia"/>
        </w:rPr>
        <w:t>延伸</w:t>
      </w:r>
      <w:r>
        <w:t>核心产业链</w:t>
      </w:r>
    </w:p>
    <w:p>
      <w:pPr>
        <w:pStyle w:val="128"/>
      </w:pPr>
      <w:r>
        <w:rPr>
          <w:rFonts w:hint="eastAsia"/>
        </w:rPr>
        <w:t>完整的钼业生产链应集采矿、选矿、冶炼及深加工于一体。其</w:t>
      </w:r>
      <w:r>
        <w:t>核心产业链为</w:t>
      </w:r>
      <w:r>
        <w:rPr>
          <w:rFonts w:hint="eastAsia"/>
        </w:rPr>
        <w:t>“钼精矿-</w:t>
      </w:r>
      <w:r>
        <w:t>钼焙砂-钼酸铵（</w:t>
      </w:r>
      <w:r>
        <w:rPr>
          <w:rFonts w:hint="eastAsia"/>
        </w:rPr>
        <w:t>氧化钼</w:t>
      </w:r>
      <w:r>
        <w:t>）</w:t>
      </w:r>
      <w:r>
        <w:rPr>
          <w:rFonts w:hint="eastAsia"/>
        </w:rPr>
        <w:t>-</w:t>
      </w:r>
      <w:r>
        <w:t>钼化工（</w:t>
      </w:r>
      <w:r>
        <w:rPr>
          <w:rFonts w:hint="eastAsia"/>
        </w:rPr>
        <w:t>钼金属</w:t>
      </w:r>
      <w:r>
        <w:t>）</w:t>
      </w:r>
      <w:r>
        <w:rPr>
          <w:rFonts w:hint="eastAsia"/>
        </w:rPr>
        <w:t>”</w:t>
      </w:r>
    </w:p>
    <w:p>
      <w:pPr>
        <w:pStyle w:val="128"/>
      </w:pPr>
      <w:r>
        <w:rPr>
          <w:rFonts w:hint="eastAsia"/>
        </w:rPr>
        <w:t>（1）钼初级产品</w:t>
      </w:r>
      <w:r>
        <w:t>生产链</w:t>
      </w:r>
    </w:p>
    <w:p>
      <w:pPr>
        <w:pStyle w:val="128"/>
      </w:pPr>
      <w:r>
        <w:rPr>
          <w:rFonts w:hint="eastAsia"/>
        </w:rPr>
        <w:t>钼</w:t>
      </w:r>
      <w:r>
        <w:t>初级产品主要有钼铁、钼焙砂及钼酸铵</w:t>
      </w:r>
      <w:r>
        <w:rPr>
          <w:rFonts w:hint="eastAsia"/>
        </w:rPr>
        <w:t>。</w:t>
      </w:r>
      <w:r>
        <w:t>浮选出</w:t>
      </w:r>
      <w:r>
        <w:rPr>
          <w:rFonts w:hint="eastAsia"/>
        </w:rPr>
        <w:t>钼精矿后可采用干法或湿法工艺直接生产钼焙砂或钼酸铵，亦可先干法焙烧生产钼焙砂后再加工生产钼铁或湿法产出钼酸铵。</w:t>
      </w:r>
    </w:p>
    <w:p>
      <w:pPr>
        <w:pStyle w:val="128"/>
      </w:pPr>
      <w:r>
        <w:rPr>
          <w:rFonts w:hint="eastAsia"/>
        </w:rPr>
        <w:t>（2）钼深加工</w:t>
      </w:r>
      <w:r>
        <w:t>产品生产链</w:t>
      </w:r>
    </w:p>
    <w:p>
      <w:pPr>
        <w:pStyle w:val="128"/>
      </w:pPr>
      <w:r>
        <w:rPr>
          <w:rFonts w:hint="eastAsia"/>
        </w:rPr>
        <w:t>钼的深加工产品包括钼化工及钼金属两类，其中，钼化工产品是以钼酸铵或高纯氧化钼为生产原料，而高纯氧化钼需以钼酸铵或钼焙砂为原料生产；钼金属的生产则需还原高纯氧化钼产出纯钼粉后进一步加工。</w:t>
      </w:r>
    </w:p>
    <w:p>
      <w:pPr>
        <w:pStyle w:val="128"/>
      </w:pPr>
      <w:r>
        <w:rPr>
          <w:rFonts w:hint="eastAsia"/>
        </w:rPr>
        <w:t>据此，钼产品生产链可细分为“钼精矿</w:t>
      </w:r>
      <w:r>
        <w:t>-</w:t>
      </w:r>
      <w:r>
        <w:rPr>
          <w:rFonts w:hint="eastAsia"/>
        </w:rPr>
        <w:t>钼焙砂</w:t>
      </w:r>
      <w:r>
        <w:t>-</w:t>
      </w:r>
      <w:r>
        <w:rPr>
          <w:rFonts w:hint="eastAsia"/>
        </w:rPr>
        <w:t>钼酸铵</w:t>
      </w:r>
      <w:r>
        <w:t>-</w:t>
      </w:r>
      <w:r>
        <w:rPr>
          <w:rFonts w:hint="eastAsia"/>
        </w:rPr>
        <w:t>钼化工”、“钼精矿</w:t>
      </w:r>
      <w:r>
        <w:t>-</w:t>
      </w:r>
      <w:r>
        <w:rPr>
          <w:rFonts w:hint="eastAsia"/>
        </w:rPr>
        <w:t>钼焙砂</w:t>
      </w:r>
      <w:r>
        <w:t>-</w:t>
      </w:r>
      <w:r>
        <w:rPr>
          <w:rFonts w:hint="eastAsia"/>
        </w:rPr>
        <w:t>高纯氧化钼</w:t>
      </w:r>
      <w:r>
        <w:t>-</w:t>
      </w:r>
      <w:r>
        <w:rPr>
          <w:rFonts w:hint="eastAsia"/>
        </w:rPr>
        <w:t>钼化工”、“钼精矿</w:t>
      </w:r>
      <w:r>
        <w:t>-</w:t>
      </w:r>
      <w:r>
        <w:rPr>
          <w:rFonts w:hint="eastAsia"/>
        </w:rPr>
        <w:t>钼焙砂</w:t>
      </w:r>
      <w:r>
        <w:t>-</w:t>
      </w:r>
      <w:r>
        <w:rPr>
          <w:rFonts w:hint="eastAsia"/>
        </w:rPr>
        <w:t>氧化钼</w:t>
      </w:r>
      <w:r>
        <w:t>-</w:t>
      </w:r>
      <w:r>
        <w:rPr>
          <w:rFonts w:hint="eastAsia"/>
        </w:rPr>
        <w:t>纯钼粉</w:t>
      </w:r>
      <w:r>
        <w:t>-</w:t>
      </w:r>
      <w:r>
        <w:rPr>
          <w:rFonts w:hint="eastAsia"/>
        </w:rPr>
        <w:t>钼金属”、“钼精矿</w:t>
      </w:r>
      <w:r>
        <w:t>-</w:t>
      </w:r>
      <w:r>
        <w:rPr>
          <w:rFonts w:hint="eastAsia"/>
        </w:rPr>
        <w:t>钼酸铵</w:t>
      </w:r>
      <w:r>
        <w:t>-</w:t>
      </w:r>
      <w:r>
        <w:rPr>
          <w:rFonts w:hint="eastAsia"/>
        </w:rPr>
        <w:t>钼化工”、“钼精矿</w:t>
      </w:r>
      <w:r>
        <w:t>-</w:t>
      </w:r>
      <w:r>
        <w:rPr>
          <w:rFonts w:hint="eastAsia"/>
        </w:rPr>
        <w:t>钼酸铵</w:t>
      </w:r>
      <w:r>
        <w:t>-</w:t>
      </w:r>
      <w:r>
        <w:rPr>
          <w:rFonts w:hint="eastAsia"/>
        </w:rPr>
        <w:t>氧化钼</w:t>
      </w:r>
      <w:r>
        <w:t>-</w:t>
      </w:r>
      <w:r>
        <w:rPr>
          <w:rFonts w:hint="eastAsia"/>
        </w:rPr>
        <w:t>纯钼粉</w:t>
      </w:r>
      <w:r>
        <w:t>-</w:t>
      </w:r>
      <w:r>
        <w:rPr>
          <w:rFonts w:hint="eastAsia"/>
        </w:rPr>
        <w:t>钼金属”等。</w:t>
      </w:r>
    </w:p>
    <w:p>
      <w:pPr>
        <w:pStyle w:val="128"/>
      </w:pPr>
      <w:r>
        <w:rPr>
          <w:rFonts w:hint="eastAsia"/>
        </w:rPr>
        <w:t>钼化工</w:t>
      </w:r>
      <w:r>
        <w:t>产品方面，</w:t>
      </w:r>
      <w:r>
        <w:rPr>
          <w:rFonts w:hint="eastAsia"/>
        </w:rPr>
        <w:t>延伸</w:t>
      </w:r>
      <w:r>
        <w:t>钼酸钠、钼酸钠、钼酸钡等，钼金属制品方面，重点加大钼粉、钼条、钼板、钼棒、钼丝、钼异件等深加工金属产品的研发和制造，逐步减少钼精粉、氧化钼等初级产品的大量出口和</w:t>
      </w:r>
      <w:r>
        <w:rPr>
          <w:rFonts w:hint="eastAsia"/>
        </w:rPr>
        <w:t>供应</w:t>
      </w:r>
      <w:r>
        <w:t>，</w:t>
      </w:r>
      <w:r>
        <w:rPr>
          <w:rFonts w:hint="eastAsia"/>
        </w:rPr>
        <w:t>延伸</w:t>
      </w:r>
      <w:r>
        <w:t>做强产业链，提升产品价值。</w:t>
      </w:r>
    </w:p>
    <w:p>
      <w:pPr>
        <w:pStyle w:val="127"/>
      </w:pPr>
      <w:r>
        <w:rPr>
          <w:rFonts w:hint="eastAsia"/>
        </w:rPr>
        <w:t>引入</w:t>
      </w:r>
      <w:r>
        <w:t>辅助产业链</w:t>
      </w:r>
    </w:p>
    <w:p>
      <w:pPr>
        <w:pStyle w:val="128"/>
      </w:pPr>
      <w:r>
        <w:rPr>
          <w:rFonts w:hint="eastAsia"/>
        </w:rPr>
        <w:t>在钼矿采选及加工工程产生的中间产品和污染物中，伴生资源、含硫烟气和尾矿渣最为典型并有较大利用价值，由此，可将伴生资源回收及含硫烟气和尾矿渣的综合利用作为钼工业生产的辅助链条。</w:t>
      </w:r>
    </w:p>
    <w:p>
      <w:pPr>
        <w:pStyle w:val="128"/>
      </w:pPr>
      <w:r>
        <w:rPr>
          <w:rFonts w:hint="eastAsia"/>
        </w:rPr>
        <w:t>（</w:t>
      </w:r>
      <w:r>
        <w:t>1</w:t>
      </w:r>
      <w:r>
        <w:rPr>
          <w:rFonts w:hint="eastAsia"/>
        </w:rPr>
        <w:t>）伴生资源回收链</w:t>
      </w:r>
    </w:p>
    <w:p>
      <w:pPr>
        <w:pStyle w:val="128"/>
      </w:pPr>
      <w:r>
        <w:rPr>
          <w:rFonts w:hint="eastAsia"/>
        </w:rPr>
        <w:t>目前具有开采价值的钼矿主要是辉钼矿，在辉钼矿的伴生矿物中，以硫元素居多，此外还伴生有黄铁矿、黄铜矿、方铅矿、铅铀钛铁矿等几十种矿石物种，具有极大的回收价值。目前选钼工艺一般采用优先浮选法，在优先选钼后进行扫选尾矿回收伴生矿物，经反复多次的扫选可实现对钼矿中硫、铅、铜、铁等油价的综合回收。</w:t>
      </w:r>
    </w:p>
    <w:p>
      <w:pPr>
        <w:pStyle w:val="128"/>
      </w:pPr>
      <w:r>
        <w:rPr>
          <w:rFonts w:hint="eastAsia"/>
        </w:rPr>
        <w:t>近些年来钼矿中铼元素的回收成为钼矿伴生矿物回收领域的一个研究重点。铼是一个真正稀有并且分散的元素，由于它可用来制造特种灯泡、高温电偶、合成具有较高硬度及抗磨抗蚀性的合金以及高度选择性催化剂，因而其回收备受人们关注。然而，自然界中含铼矿物非常稀少，辉钼矿是迄今为止人们发现的最主要的铼依附体，因此，辉钼精矿处理过程中，从含铼烟气及溶液中回收铼元素是钼提取过程中一项重要的任务。</w:t>
      </w:r>
    </w:p>
    <w:p>
      <w:pPr>
        <w:pStyle w:val="128"/>
      </w:pPr>
      <w:r>
        <w:rPr>
          <w:rFonts w:hint="eastAsia"/>
        </w:rPr>
        <w:t>（</w:t>
      </w:r>
      <w:r>
        <w:t>2</w:t>
      </w:r>
      <w:r>
        <w:rPr>
          <w:rFonts w:hint="eastAsia"/>
        </w:rPr>
        <w:t>）含硫烟气综合利用链</w:t>
      </w:r>
    </w:p>
    <w:p>
      <w:pPr>
        <w:pStyle w:val="128"/>
      </w:pPr>
      <w:r>
        <w:rPr>
          <w:rFonts w:hint="eastAsia"/>
        </w:rPr>
        <w:t>在钼精矿焙烧为工业氧化钼的过程中，精矿中的硫被氧化为</w:t>
      </w:r>
      <w:r>
        <w:t>SO</w:t>
      </w:r>
      <w:r>
        <w:rPr>
          <w:vertAlign w:val="subscript"/>
        </w:rPr>
        <w:t>2</w:t>
      </w:r>
      <w:r>
        <w:rPr>
          <w:rFonts w:hint="eastAsia"/>
        </w:rPr>
        <w:t>，随烟气进入烟气净化系统，成为废气中的主要污染物。在有色金属冶炼工业中，铅锌行业的低浓度</w:t>
      </w:r>
      <w:r>
        <w:t>SO</w:t>
      </w:r>
      <w:r>
        <w:rPr>
          <w:vertAlign w:val="subscript"/>
        </w:rPr>
        <w:t>2</w:t>
      </w:r>
      <w:r>
        <w:rPr>
          <w:rFonts w:hint="eastAsia"/>
        </w:rPr>
        <w:t>烟气回收工艺已经发展成熟且普遍应用，大多是采用两转两吸法生产硫酸对其加以回收利用。参考铅锌冶炼的成功实例，钼矿冶炼烟气中</w:t>
      </w:r>
      <w:r>
        <w:t>SO</w:t>
      </w:r>
      <w:r>
        <w:rPr>
          <w:vertAlign w:val="subscript"/>
        </w:rPr>
        <w:t>2</w:t>
      </w:r>
      <w:r>
        <w:rPr>
          <w:rFonts w:hint="eastAsia"/>
        </w:rPr>
        <w:t>的回收也逐渐成熟。</w:t>
      </w:r>
    </w:p>
    <w:p>
      <w:pPr>
        <w:pStyle w:val="128"/>
      </w:pPr>
      <w:r>
        <w:rPr>
          <w:rFonts w:hint="eastAsia"/>
        </w:rPr>
        <w:t>在制酸的过程中产生的酸泥，经石灰石中和后产生的中和沉渣因含有硫酸钙、氟化钙，可用作缓蚀剂而被水泥生产厂家使用，构建起化工与建材企业间的生产联合。此外，制酸装置产生的过热蒸汽可用于发电，供企业内部或园区企业使用，解决园区企业的部分用电，既节约的能源又降低了生产成本。</w:t>
      </w:r>
    </w:p>
    <w:p>
      <w:pPr>
        <w:pStyle w:val="128"/>
      </w:pPr>
      <w:r>
        <w:rPr>
          <w:rFonts w:hint="eastAsia"/>
        </w:rPr>
        <w:t>（</w:t>
      </w:r>
      <w:r>
        <w:t>3</w:t>
      </w:r>
      <w:r>
        <w:rPr>
          <w:rFonts w:hint="eastAsia"/>
        </w:rPr>
        <w:t>）选钼尾矿综合利用链</w:t>
      </w:r>
    </w:p>
    <w:p>
      <w:pPr>
        <w:pStyle w:val="128"/>
      </w:pPr>
      <w:r>
        <w:rPr>
          <w:rFonts w:hint="eastAsia"/>
        </w:rPr>
        <w:t>在选钼过程中，约有</w:t>
      </w:r>
      <w:r>
        <w:t>95%</w:t>
      </w:r>
      <w:r>
        <w:rPr>
          <w:rFonts w:hint="eastAsia"/>
        </w:rPr>
        <w:t>的矿石最终以尾矿的形式堆存于尾矿库，尾矿的长期堆放需占用大量土地，亦会在雨季造成泥石流、滑坡等地质灾害。对其加以综合利用，不仅可减少园区工业固废的产生量，缓解园区生态压力，也丰富了园区产业种类，有利于其经济的发展。</w:t>
      </w:r>
    </w:p>
    <w:p>
      <w:pPr>
        <w:pStyle w:val="128"/>
      </w:pPr>
      <w:r>
        <w:rPr>
          <w:rFonts w:hint="eastAsia"/>
        </w:rPr>
        <w:t>目前研究出的选钼尾矿综合利用途径主要有生产水泥、微晶玻璃等建筑材料及生产硅肥。有色金属选矿尾砂多以</w:t>
      </w:r>
      <w:r>
        <w:t xml:space="preserve">SiO2 </w:t>
      </w:r>
      <w:r>
        <w:rPr>
          <w:rFonts w:hint="eastAsia"/>
        </w:rPr>
        <w:t>为主，含</w:t>
      </w:r>
      <w:r>
        <w:t>Ca</w:t>
      </w:r>
      <w:r>
        <w:rPr>
          <w:rFonts w:hint="eastAsia"/>
        </w:rPr>
        <w:t>、</w:t>
      </w:r>
      <w:r>
        <w:t xml:space="preserve">Mg </w:t>
      </w:r>
      <w:r>
        <w:rPr>
          <w:rFonts w:hint="eastAsia"/>
        </w:rPr>
        <w:t>等氧化物，在硅酸盐类建筑材料生产中，可以代替主料石英砂，配以其他所需元素可以用于生产水泥、烧制玻璃等。若综合利用钾、钼、铁、锌，则可制作含多种中微量元素的硅肥。</w:t>
      </w:r>
    </w:p>
    <w:p>
      <w:pPr>
        <w:pStyle w:val="128"/>
      </w:pPr>
      <w:r>
        <w:rPr>
          <w:rFonts w:hint="eastAsia"/>
        </w:rPr>
        <w:t>值得一提的是，用尾矿制建筑材料及硅肥存在其含放射性物质及重金属等有害元素而影响健康的隐患。因此，综合利用尾矿砂需要特别慎重，要详细分析尾矿中是否存在对健康不利的元素。</w:t>
      </w:r>
    </w:p>
    <w:p>
      <w:pPr>
        <w:pStyle w:val="127"/>
      </w:pPr>
      <w:r>
        <w:rPr>
          <w:rFonts w:hint="eastAsia"/>
        </w:rPr>
        <w:t>完善钼资源的回收再生产业链</w:t>
      </w:r>
    </w:p>
    <w:p>
      <w:pPr>
        <w:pStyle w:val="128"/>
      </w:pPr>
      <w:r>
        <w:rPr>
          <w:rFonts w:hint="eastAsia"/>
        </w:rPr>
        <w:t>作为循环经济的最后一环，对钼的二次资源的回收利用是钼生态产业建设不可缺失的一环。随着我国钼深加工产业的不断扩大，包括桌面料、地面料、切削料在内的钼金属废料以及钼冶金化工废料产量与日俱增，仅石化、化肥生产中使用的废催化剂就有上千吨的量，这些都是钼的可再生资源。总的说来，钼的二次资源主要包括以下几类：</w:t>
      </w:r>
    </w:p>
    <w:p>
      <w:pPr>
        <w:pStyle w:val="128"/>
      </w:pPr>
      <w:r>
        <w:rPr>
          <w:rFonts w:hint="eastAsia"/>
        </w:rPr>
        <w:t>① 钼制品及其加工废料。此类废料主要来自钼及其他含钼材料制品的生产加工过程，如钼棒、钼丝及钼块等的残料和机械切削碎片、磨屑废料及金属鳞皮。其含钼成分一般较高，通常为92%</w:t>
      </w:r>
      <w:r>
        <w:rPr>
          <w:rFonts w:hint="eastAsia" w:hAnsi="宋体"/>
        </w:rPr>
        <w:t>～</w:t>
      </w:r>
      <w:r>
        <w:rPr>
          <w:rFonts w:hint="eastAsia"/>
        </w:rPr>
        <w:t>99.5%。</w:t>
      </w:r>
    </w:p>
    <w:p>
      <w:pPr>
        <w:pStyle w:val="128"/>
      </w:pPr>
      <w:r>
        <w:rPr>
          <w:rFonts w:hint="eastAsia"/>
        </w:rPr>
        <w:t>② 冶炼过程废料、废液。冶炼过程废料主要来自钼冶炼现场的地面垃圾、不合格粉末制品，以及生产过程中产生的含钼废渣、废液等。</w:t>
      </w:r>
    </w:p>
    <w:p>
      <w:pPr>
        <w:pStyle w:val="128"/>
      </w:pPr>
      <w:r>
        <w:rPr>
          <w:rFonts w:hint="eastAsia"/>
        </w:rPr>
        <w:t>③ 合金废料，主要为含钼的废旧合金钢。</w:t>
      </w:r>
    </w:p>
    <w:p>
      <w:pPr>
        <w:pStyle w:val="128"/>
      </w:pPr>
      <w:r>
        <w:rPr>
          <w:rFonts w:hint="eastAsia"/>
        </w:rPr>
        <w:t>④ 含钼废催化剂，主要来自于石油化工行业。</w:t>
      </w:r>
    </w:p>
    <w:p>
      <w:pPr>
        <w:pStyle w:val="128"/>
      </w:pPr>
      <w:r>
        <w:rPr>
          <w:rFonts w:hint="eastAsia"/>
        </w:rPr>
        <w:t>通过对钼产品生产过程中产生的钼二次资源及一定区域内的二次资源进行回收再加工，可以扩大钼金属资源供给量，减少环境污染，增加生态效率。特别值得一提的是，通常情况下，含钼废催化剂中的钼含量远高于钼矿石中的钼含量，从中提取钼及其他有价元素不仅能回收资源，而且生产成本也相应较低一些。</w:t>
      </w:r>
    </w:p>
    <w:p>
      <w:pPr>
        <w:pStyle w:val="128"/>
      </w:pPr>
      <w:r>
        <w:rPr>
          <w:rFonts w:hint="eastAsia"/>
        </w:rPr>
        <w:t>如同原生金属生产对精矿有一定要求一样，钼二次资源回收冶炼过程对回收资源的物理规格和化学成分是有一定要求的，需要对其进行严格的预处理，达到钼冶炼生产要求后方可与原生精矿一同进行加工生产。由于钼加工企业并非专业的再生企业，只能依靠现有的冶炼技术和设备，对符合工艺要求的钼二次资源处理，因此需要与专业的物资回收企业建立联系，回收符合生产要求的二次资源。</w:t>
      </w:r>
    </w:p>
    <w:p>
      <w:pPr>
        <w:pStyle w:val="127"/>
      </w:pPr>
      <w:r>
        <w:rPr>
          <w:rFonts w:hint="eastAsia"/>
        </w:rPr>
        <w:t>形成</w:t>
      </w:r>
      <w:r>
        <w:t>生态化建设模式</w:t>
      </w:r>
    </w:p>
    <w:p>
      <w:pPr>
        <w:pStyle w:val="128"/>
      </w:pPr>
      <w:r>
        <w:rPr>
          <w:rFonts w:hint="eastAsia"/>
        </w:rPr>
        <w:t>通过</w:t>
      </w:r>
      <w:r>
        <w:t>产业链条的完善，</w:t>
      </w:r>
      <w:r>
        <w:rPr>
          <w:rFonts w:hint="eastAsia"/>
        </w:rPr>
        <w:t>构建</w:t>
      </w:r>
      <w:r>
        <w:t>金堆城生态钼矿循环经济</w:t>
      </w:r>
      <w:r>
        <w:rPr>
          <w:rFonts w:hint="eastAsia"/>
        </w:rPr>
        <w:t>模式</w:t>
      </w:r>
      <w:r>
        <w:t>。</w:t>
      </w:r>
    </w:p>
    <w:p>
      <w:pPr>
        <w:pStyle w:val="128"/>
      </w:pPr>
      <w:r>
        <w:rPr>
          <w:rFonts w:hint="eastAsia"/>
        </w:rPr>
        <w:t>①以钼矿的采矿</w:t>
      </w:r>
      <w:r>
        <w:t>-</w:t>
      </w:r>
      <w:r>
        <w:rPr>
          <w:rFonts w:hint="eastAsia"/>
        </w:rPr>
        <w:t>选矿</w:t>
      </w:r>
      <w:r>
        <w:t>-</w:t>
      </w:r>
      <w:r>
        <w:rPr>
          <w:rFonts w:hint="eastAsia"/>
        </w:rPr>
        <w:t>冶炼</w:t>
      </w:r>
      <w:r>
        <w:t>-</w:t>
      </w:r>
      <w:r>
        <w:rPr>
          <w:rFonts w:hint="eastAsia"/>
        </w:rPr>
        <w:t>深加工为主的钼产品生产链。</w:t>
      </w:r>
    </w:p>
    <w:p>
      <w:pPr>
        <w:pStyle w:val="128"/>
      </w:pPr>
      <w:r>
        <w:rPr>
          <w:rFonts w:hint="eastAsia"/>
        </w:rPr>
        <w:t>②以回收伴生矿物为主的副产品生产链，如硫、铅、铁、铜、铼的回收。</w:t>
      </w:r>
    </w:p>
    <w:p>
      <w:pPr>
        <w:pStyle w:val="128"/>
      </w:pPr>
      <w:r>
        <w:rPr>
          <w:rFonts w:hint="eastAsia"/>
        </w:rPr>
        <w:t>③以废物综合利用为主的生产链，包括将采矿渣综合利用于回填矿坑、筑路筑墙；回收选冶过程的含钼粉尘，返回生产线进行再加工；回收焙烧烟气中</w:t>
      </w:r>
      <w:r>
        <w:t>SO</w:t>
      </w:r>
      <w:r>
        <w:rPr>
          <w:vertAlign w:val="subscript"/>
        </w:rPr>
        <w:t>2</w:t>
      </w:r>
      <w:r>
        <w:rPr>
          <w:rFonts w:hint="eastAsia"/>
        </w:rPr>
        <w:t>制酸，减少污染，提高硫资源利用率；综合利用选厂尾矿渣，用做生产水泥、硅肥或微晶玻璃的原辅料；回收钼加工废料、冶炼废渣废液，或综合利用，或处理后返回生产线进行再生产；</w:t>
      </w:r>
    </w:p>
    <w:p>
      <w:pPr>
        <w:pStyle w:val="128"/>
      </w:pPr>
      <w:r>
        <w:rPr>
          <w:rFonts w:hint="eastAsia"/>
        </w:rPr>
        <w:t>④区域二次资源回收链，收购社会区域内的废钼合金及催化剂等二次资源，筛选及处理后进入钼加工生产系统。</w:t>
      </w:r>
    </w:p>
    <w:p>
      <w:pPr>
        <w:pStyle w:val="128"/>
      </w:pPr>
      <w:r>
        <w:rPr>
          <w:rFonts w:hint="eastAsia"/>
        </w:rPr>
        <w:t>⑤水资源循环利用链。主要体现在钼生产链中，如：矿坑水经处理后首先回用于冷却工艺补水、矿区绿化、道路洒水等，多余部分可进入选矿企业；选矿废水经尾矿沉淀处理后回用于选矿工序，争取实现园区污水的零排放。</w:t>
      </w:r>
    </w:p>
    <w:p>
      <w:pPr>
        <w:pStyle w:val="128"/>
      </w:pPr>
      <w:r>
        <w:rPr>
          <w:rFonts w:hint="eastAsia"/>
        </w:rPr>
        <w:t>⑥硫酸厂余热综合利用链。硫酸厂余热则回收后用于发电，供硫酸厂自身生产使用，多余电量出售于园区内其他生产企业使用。</w:t>
      </w:r>
    </w:p>
    <w:p>
      <w:pPr>
        <w:pStyle w:val="129"/>
      </w:pPr>
      <w:r>
        <w:drawing>
          <wp:inline distT="0" distB="0" distL="0" distR="0">
            <wp:extent cx="5759450" cy="3181350"/>
            <wp:effectExtent l="0" t="0" r="0" b="0"/>
            <wp:docPr id="251" name="图片 251" descr="C:\Users\12017\AppData\Roaming\Tencent\Users\497121372\QQ\WinTemp\RichOle\2KYTECN)Q7]$Y`NXJN7YP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C:\Users\12017\AppData\Roaming\Tencent\Users\497121372\QQ\WinTemp\RichOle\2KYTECN)Q7]$Y`NXJN7YP0F.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5760000" cy="3181955"/>
                    </a:xfrm>
                    <a:prstGeom prst="rect">
                      <a:avLst/>
                    </a:prstGeom>
                    <a:noFill/>
                    <a:ln>
                      <a:noFill/>
                    </a:ln>
                  </pic:spPr>
                </pic:pic>
              </a:graphicData>
            </a:graphic>
          </wp:inline>
        </w:drawing>
      </w:r>
    </w:p>
    <w:p>
      <w:pPr>
        <w:pStyle w:val="137"/>
        <w:numPr>
          <w:ilvl w:val="0"/>
          <w:numId w:val="15"/>
        </w:numPr>
      </w:pPr>
      <w:r>
        <w:rPr>
          <w:rFonts w:hint="eastAsia"/>
        </w:rPr>
        <w:t>生态钼业循环</w:t>
      </w:r>
      <w:r>
        <w:t>经济示意图</w:t>
      </w:r>
    </w:p>
    <w:p>
      <w:pPr>
        <w:pStyle w:val="128"/>
      </w:pPr>
    </w:p>
    <w:p>
      <w:pPr>
        <w:pStyle w:val="128"/>
      </w:pPr>
    </w:p>
    <w:p>
      <w:pPr>
        <w:pStyle w:val="128"/>
      </w:pPr>
    </w:p>
    <w:p>
      <w:pPr>
        <w:pStyle w:val="128"/>
      </w:pPr>
    </w:p>
    <w:p>
      <w:pPr>
        <w:pStyle w:val="128"/>
        <w:sectPr>
          <w:pgSz w:w="11906" w:h="16838"/>
          <w:pgMar w:top="1440" w:right="1588" w:bottom="1440" w:left="1588" w:header="851" w:footer="992" w:gutter="0"/>
          <w:pgNumType w:fmt="decimal"/>
          <w:cols w:space="720" w:num="1"/>
          <w:docGrid w:linePitch="312" w:charSpace="0"/>
        </w:sectPr>
      </w:pPr>
    </w:p>
    <w:p>
      <w:pPr>
        <w:pStyle w:val="123"/>
      </w:pPr>
      <w:bookmarkStart w:id="104" w:name="_Toc22018"/>
      <w:r>
        <w:rPr>
          <w:rFonts w:hint="eastAsia"/>
        </w:rPr>
        <w:t>新能源汽车</w:t>
      </w:r>
      <w:r>
        <w:t>产业发展集群</w:t>
      </w:r>
      <w:r>
        <w:rPr>
          <w:rFonts w:hint="eastAsia"/>
        </w:rPr>
        <w:t>规划</w:t>
      </w:r>
      <w:bookmarkEnd w:id="104"/>
    </w:p>
    <w:p>
      <w:pPr>
        <w:pStyle w:val="125"/>
      </w:pPr>
      <w:bookmarkStart w:id="105" w:name="_Toc2224"/>
      <w:r>
        <w:rPr>
          <w:rFonts w:hint="eastAsia"/>
        </w:rPr>
        <w:t>新能源</w:t>
      </w:r>
      <w:r>
        <w:t>汽车产业发展</w:t>
      </w:r>
      <w:r>
        <w:rPr>
          <w:rFonts w:hint="eastAsia"/>
        </w:rPr>
        <w:t>现状</w:t>
      </w:r>
      <w:r>
        <w:t>及趋势</w:t>
      </w:r>
      <w:bookmarkEnd w:id="105"/>
    </w:p>
    <w:p>
      <w:pPr>
        <w:pStyle w:val="126"/>
      </w:pPr>
      <w:bookmarkStart w:id="106" w:name="_Toc444843495"/>
      <w:r>
        <w:rPr>
          <w:rFonts w:hint="eastAsia"/>
        </w:rPr>
        <w:t>国内外</w:t>
      </w:r>
      <w:r>
        <w:t>新能源汽车产业发展现状及趋势</w:t>
      </w:r>
      <w:bookmarkEnd w:id="106"/>
    </w:p>
    <w:p>
      <w:pPr>
        <w:pStyle w:val="128"/>
      </w:pPr>
      <w:r>
        <w:rPr>
          <w:rFonts w:hint="eastAsia"/>
        </w:rPr>
        <w:t>在发达国家，汽车决定着石油需求，也是影响温室气体和有害气体排放的关键因素，实现环境保护目标需要减少汽车的石油消耗和气体排放。但另一方面，汽车是支柱产业，也是基本的交通工具，各国政府又要保持汽车的发展来促进经济的发展和民众生活福利的提高。发展节能环保汽车可以在保持汽车增长的状况下降低石油消耗、保护大气环境，因此各国政府普遍把发展节能环保汽车看成实现其能源环境政策和汽车工业可持续发展的重要组成部分。</w:t>
      </w:r>
    </w:p>
    <w:p>
      <w:pPr>
        <w:pStyle w:val="128"/>
      </w:pPr>
      <w:r>
        <w:rPr>
          <w:rFonts w:hint="eastAsia"/>
        </w:rPr>
        <w:t>（1）主要汽车生产国均大力支持和推动本国新能源汽车产业发展。</w:t>
      </w:r>
    </w:p>
    <w:p>
      <w:pPr>
        <w:pStyle w:val="128"/>
      </w:pPr>
      <w:r>
        <w:rPr>
          <w:rFonts w:hint="eastAsia"/>
        </w:rPr>
        <w:t>美、日、德等主要汽车生产国均把发展新能源汽车作为应对环境和能源双重压力、抢占新一轮汽车工业竞争制高点的重要国家战略，由政府主导组织实施了一系列国家行动计划加以扶持。如2013年美国能源部发布《电动汽车普及大挑战蓝图》，计划10年内成为首个能够生产每户家庭都能负担得起的插电式电动汽车的国家；2014年日本经产省颁布《汽车产业战略2014》，提出未来将逐步提高包括电动汽车在内的新一代汽车市场份额。近年来，中国政府也已在新能源汽车产业发展、科技创新、财税支持等方面，初步建立了从研发、推广应用到产业化全产业链的政策支持体系。</w:t>
      </w:r>
    </w:p>
    <w:p>
      <w:pPr>
        <w:pStyle w:val="128"/>
      </w:pPr>
      <w:r>
        <w:rPr>
          <w:rFonts w:hint="eastAsia"/>
        </w:rPr>
        <w:t>（2）国内外汽车企业或集团积极布局和生产新能源汽车。</w:t>
      </w:r>
    </w:p>
    <w:p>
      <w:pPr>
        <w:pStyle w:val="128"/>
      </w:pPr>
      <w:r>
        <w:rPr>
          <w:rFonts w:hint="eastAsia"/>
        </w:rPr>
        <w:t>主流汽车企业纷纷发力新能源汽车，推出长期发展战略规划。如上汽集团计划在新能源领域投资超过200亿元，投放30款以上产品，到2020年目标销量60万辆；北汽集团规划要建立世界级的新能源汽车公司，到2020实现新能源汽车产能50万辆；长安到2020年新能源汽车目标销量40万辆，到2025年累计销量200万辆，新能源汽车占比达10%；吉利汽车发布“蓝色吉利行动”，到2020年新能源汽车销量占吉利整体销量90%以上；江淮在2025年实现新能源汽车销量占到公司总销量的30%；比亚迪的目标是把中国道路交通领域所有用油的地方全部用电来替代，发布“7+4”战略目标，逐步实现全市场电动化布局。宝马计划到2025年前新产品中将有20%～30%为新能源汽车、丰田宣布2050年前将彻底停产纯内燃机驱动的汽车。</w:t>
      </w:r>
    </w:p>
    <w:p>
      <w:pPr>
        <w:pStyle w:val="128"/>
      </w:pPr>
      <w:r>
        <w:rPr>
          <w:rFonts w:hint="eastAsia"/>
        </w:rPr>
        <w:t>（3）新能源汽车产品竞争力与传统燃油车差距将不断缩小。</w:t>
      </w:r>
    </w:p>
    <w:p>
      <w:pPr>
        <w:pStyle w:val="128"/>
      </w:pPr>
      <w:r>
        <w:rPr>
          <w:rFonts w:hint="eastAsia"/>
        </w:rPr>
        <w:t>预计到2025年，动力电池单体比能量将达到400Wh/kg，成本降至0.8元/Wh，整车成本和续航里程“短板”将得到改善；充电设施网络逐步建立完善，相应的使用优惠措施得到不断落实，未来新能源汽车与传统燃油车在产品性价比和使用便利性等方面的差距不断缩小。</w:t>
      </w:r>
    </w:p>
    <w:p>
      <w:pPr>
        <w:pStyle w:val="126"/>
      </w:pPr>
      <w:r>
        <w:rPr>
          <w:rFonts w:hint="eastAsia"/>
        </w:rPr>
        <w:t>我国</w:t>
      </w:r>
      <w:r>
        <w:t>对新能源汽车产业的政策支持</w:t>
      </w:r>
    </w:p>
    <w:p>
      <w:pPr>
        <w:pStyle w:val="128"/>
      </w:pPr>
      <w:r>
        <w:rPr>
          <w:rFonts w:hint="eastAsia"/>
        </w:rPr>
        <w:t>对我国汽车产业而言，“十一五”以来，国家采取了一系列对策，包括国务院2007年6月印发的《节能减排综合性工作方案》、《关于鼓励发展节能环保型小排量汽车的意见》（国办发[2005]61号）；财政部、环境保护部联合印发的《关于环境标志产品政府采购实施的意见》（财库[2006]90号）等，并两次调整了汽车消费税。同时，在2008-2009年中国政府更是出台“燃油税”、“以旧换新”等政策鼓励小排量汽车的研发，除了在产业振兴规划中扶持新能源汽车外，中国政府更是通过提高国内成品油价的方法“逼迫”汽车业走上“节能、环保”的道路。</w:t>
      </w:r>
    </w:p>
    <w:p>
      <w:pPr>
        <w:pStyle w:val="128"/>
      </w:pPr>
      <w:r>
        <w:rPr>
          <w:rFonts w:hint="eastAsia"/>
        </w:rPr>
        <w:t>2011年9月7日，财政部、发改委、工信部签署“关于调整节能汽车推广补贴政策的通知”（财建[2011]754号），并在2011年10月1日起实施，主要是将纳入补贴范围的节能汽车门槛提高。这些措施鲜明地表达了政府促进汽车节能减排工作的决心和对汽车产品“抑大扬小”的态度。</w:t>
      </w:r>
    </w:p>
    <w:p>
      <w:pPr>
        <w:pStyle w:val="128"/>
      </w:pPr>
      <w:r>
        <w:rPr>
          <w:rFonts w:hint="eastAsia"/>
        </w:rPr>
        <w:t>2012年7月9日，国务院正式公布《节能与新能源汽车产业发展规划（2012-2020年）》，规划称新能源汽车产业发展将以纯电驱动为新能源汽车发展和汽车工业转型的主要战略取向，当前重点推进纯电动汽车和插电式混合动力汽车产业化。到2020年，中国新能源汽车累计产销将突破500万辆，产能将达200万辆，动力电池的需求将超过100GWh。</w:t>
      </w:r>
    </w:p>
    <w:p>
      <w:pPr>
        <w:pStyle w:val="128"/>
      </w:pPr>
      <w:r>
        <w:rPr>
          <w:rFonts w:hint="eastAsia"/>
        </w:rPr>
        <w:t>新能源汽车代表着未来汽车产业的发展方向，既是缓解能源和环境压力的重要举措，也是中国新的经济增长点和战略调整的制高点。</w:t>
      </w:r>
    </w:p>
    <w:p>
      <w:pPr>
        <w:pStyle w:val="126"/>
      </w:pPr>
      <w:bookmarkStart w:id="107" w:name="_Toc444843496"/>
      <w:r>
        <w:t>陕西省新能源汽车产业发展现状</w:t>
      </w:r>
      <w:bookmarkEnd w:id="107"/>
    </w:p>
    <w:p>
      <w:pPr>
        <w:pStyle w:val="128"/>
      </w:pPr>
      <w:r>
        <w:rPr>
          <w:rFonts w:hint="eastAsia"/>
        </w:rPr>
        <w:t>（1）</w:t>
      </w:r>
      <w:r>
        <w:t>省政府高度重视新能源汽车汽车产业发展</w:t>
      </w:r>
    </w:p>
    <w:p>
      <w:pPr>
        <w:pStyle w:val="128"/>
      </w:pPr>
      <w:r>
        <w:t>陕西省是仅次于浙江、天津、广东、上海，全国第5个颁布省级新能源汽车地方发展规划的省份。2013年5月，陕西省人民政府颁布了《陕西省人民政府关于贯彻落实国务院节能与新能源汽车产业发展规划的实施意见》（陕政发〔2013〕21号）（下简称《意见》）。该《意见》对发展现状及面临的形势、总体思路和基本原则、技术路线和主要目标、主要任务、保障措施及方案实施都做出了明确的阐释和部署。《意见》指出</w:t>
      </w:r>
      <w:r>
        <w:rPr>
          <w:rFonts w:hint="eastAsia"/>
        </w:rPr>
        <w:t>“</w:t>
      </w:r>
      <w:r>
        <w:t>到2015年，全省纯电动汽车和插电式混合动力汽车产销量累计达到2.2万辆；到2020年纯电动汽车和插电式混合动力汽车产销量累计达到10万辆</w:t>
      </w:r>
      <w:r>
        <w:rPr>
          <w:rFonts w:hint="eastAsia"/>
        </w:rPr>
        <w:t>”</w:t>
      </w:r>
      <w:r>
        <w:t>；《意见》指出要加强节能与新能源汽车技术研发、加快推动节能与新能源汽车产业化、积极推进甲醇汽车试点、增强关键零部件研发配套能力、加快推进加气站和充电设施建设。</w:t>
      </w:r>
    </w:p>
    <w:p>
      <w:pPr>
        <w:pStyle w:val="128"/>
      </w:pPr>
      <w:r>
        <w:rPr>
          <w:rFonts w:hint="eastAsia"/>
        </w:rPr>
        <w:t>（2）</w:t>
      </w:r>
      <w:bookmarkStart w:id="108" w:name="_Toc444843498"/>
      <w:r>
        <w:t>新能源汽车产业链完善度稍显不足</w:t>
      </w:r>
      <w:bookmarkEnd w:id="108"/>
    </w:p>
    <w:p>
      <w:pPr>
        <w:pStyle w:val="128"/>
      </w:pPr>
      <w:r>
        <w:rPr>
          <w:rFonts w:hint="eastAsia"/>
        </w:rPr>
        <w:t>a）</w:t>
      </w:r>
      <w:r>
        <w:t>动力电池产业具备规模发展潜力，但尚处起步阶段</w:t>
      </w:r>
    </w:p>
    <w:p>
      <w:pPr>
        <w:pStyle w:val="128"/>
      </w:pPr>
      <w:r>
        <w:rPr>
          <w:rFonts w:hint="eastAsia"/>
        </w:rPr>
        <w:t>2014年1月22日，三星SDI有限公司和安庆环新集团一起与陕西省签署了投资战略合作协议，启动了三星环新汽车动力电池项目。2014年6月，三星SDI与安庆环新集团、西安高科集团成立了合资公司，计划在西安高新区建设韩国本土以外的第一家汽车动力电池工厂，生产电动汽车以及储能系统电池。该项目于2014年8月18日正式开工建设，经过13个月，三星环新动力电池项目一期工程于2015年10月22日竣工投产。该项目已于2015年4月份建成并开始试生产，8月份实现电池芯量产，10月份实现电池包正式量产，设计产能为年生产360万枚电池芯。后续工程计划完成全部6亿美元投资，到2020年为止再建设若干条生产线，最终年生产能力达到3120万枚电池芯。目前，三星环新汽车动力电池项目产品已供应于多家跨国整车厂，并且与中国本地十余家商用车及轿车企业签署了供应动力电池的协议，并已开始供应产品。</w:t>
      </w:r>
    </w:p>
    <w:p>
      <w:pPr>
        <w:pStyle w:val="128"/>
      </w:pPr>
      <w:r>
        <w:rPr>
          <w:rFonts w:hint="eastAsia"/>
        </w:rPr>
        <w:t>2014年5月25日，陕西有色集团与浙江吉利控股集团签署了《锂离子动力电池合作意向书》。该项目主要是生产磷酸铁锂动力电池。项目分三期建设，一期投资约2.55亿元，年生产磷酸铁锂动力电池约15万k</w:t>
      </w:r>
      <w:r>
        <w:t>W</w:t>
      </w:r>
      <w:r>
        <w:rPr>
          <w:rFonts w:hint="eastAsia"/>
        </w:rPr>
        <w:t>h；二期和三期共投入约6亿元，年生产磷酸铁锂动力电池约60万k</w:t>
      </w:r>
      <w:r>
        <w:t>W</w:t>
      </w:r>
      <w:r>
        <w:rPr>
          <w:rFonts w:hint="eastAsia"/>
        </w:rPr>
        <w:t>h，年产值约12亿元，利润约2.4亿元。</w:t>
      </w:r>
    </w:p>
    <w:p>
      <w:pPr>
        <w:pStyle w:val="128"/>
      </w:pPr>
      <w:r>
        <w:rPr>
          <w:rFonts w:hint="eastAsia"/>
        </w:rPr>
        <w:t>b）电驱动系统研发活跃，但没有形成大规模生产</w:t>
      </w:r>
    </w:p>
    <w:p>
      <w:pPr>
        <w:pStyle w:val="128"/>
      </w:pPr>
      <w:r>
        <w:rPr>
          <w:rFonts w:hint="eastAsia"/>
        </w:rPr>
        <w:t>陕西捷普控制技术有限公司是由陕西电子工业研究院代表陕西省工业与信息化厅联合西安电子科技大学重点投资和扶持的高新技术企业，公司成立于2009年11月。该公司研发成功了15KW</w:t>
      </w:r>
      <w:r>
        <w:rPr>
          <w:rFonts w:hint="eastAsia" w:hAnsi="宋体"/>
        </w:rPr>
        <w:t>～</w:t>
      </w:r>
      <w:r>
        <w:rPr>
          <w:rFonts w:hint="eastAsia"/>
        </w:rPr>
        <w:t>120KW系列化稀土永磁同步电机及其控制器，其技术水平较先进。陕西捷普公司联合西安兰德公司和陕西通家汽车股份有限公司三家共同合作，为陕西通家公司研发的纯电动小型物流车配套的稀土永磁同步电机及驱动器实现了首批23辆样车的供货。</w:t>
      </w:r>
    </w:p>
    <w:p>
      <w:pPr>
        <w:pStyle w:val="128"/>
      </w:pPr>
      <w:r>
        <w:rPr>
          <w:rFonts w:hint="eastAsia"/>
        </w:rPr>
        <w:t>西安正麒电气有限公司，新能源汽车电机驱动装置领域的研发、生产、销售和技术服务。其新能源汽车电机驱动装置项目于2015年3月在咸阳乾县开工建设，该项目投资43亿元，年产各类新能源汽车驱动系统36万套和特种电机3000台，预计建成后产品年销售收入将突破121.74亿元。西安正麒的驱动电机和电机控制器产品已供应于少量纯电动货车使用。</w:t>
      </w:r>
    </w:p>
    <w:p>
      <w:pPr>
        <w:pStyle w:val="128"/>
      </w:pPr>
      <w:bookmarkStart w:id="109" w:name="_Toc444843499"/>
      <w:r>
        <w:rPr>
          <w:rFonts w:hint="eastAsia"/>
        </w:rPr>
        <w:t>（3）</w:t>
      </w:r>
      <w:r>
        <w:t>省内各市积极布局新能源汽车产业</w:t>
      </w:r>
      <w:bookmarkEnd w:id="109"/>
    </w:p>
    <w:p>
      <w:pPr>
        <w:pStyle w:val="128"/>
      </w:pPr>
      <w:r>
        <w:rPr>
          <w:rFonts w:hint="eastAsia"/>
        </w:rPr>
        <w:t>a</w:t>
      </w:r>
      <w:r>
        <w:t>）西安市新能源汽车起步早，整车产量居全省第一位</w:t>
      </w:r>
    </w:p>
    <w:p>
      <w:pPr>
        <w:pStyle w:val="128"/>
      </w:pPr>
      <w:r>
        <w:t>西安市拥有比亚迪和陕西汽车两家新能源汽车整车生产企业。2003年比亚迪收购西安秦川汽车有限责任公司，组建比亚迪汽车，在西安市高新技术产业开发区营建西安生产基地。自2005年投产至今，西安比亚迪已累计完成生产、销售轿车约200万辆，实现工业总产值900多亿元，缴纳税金近60亿元。2008年比亚迪第一款插电式混合动力汽车F3DM在西安工厂投产下线。2013年末，比亚迪秦在西安工厂投产。2014年9月19日，比亚迪西安新能源汽车基地投产，一期项目投产后将形成20万辆节能轿车，10万辆新能源轿车的生产规模，实现工业总产值250亿元以上。</w:t>
      </w:r>
    </w:p>
    <w:p>
      <w:pPr>
        <w:pStyle w:val="128"/>
      </w:pPr>
      <w:r>
        <w:t>陕西汽车控股集团有限公司（简称陕汽控股），总部位于陕西省西安市，前身是始建于1968年的陕西汽车制造厂，主要从事商用车和汽车零部件的开发、生产、销售及相关的汽车服务贸易和金融业务。公司旗下还拥有车桥、传动抽、散热器等总成及零部件公司。公司已经成功开发出多款新能源汽车产品，产品覆盖客车和专用领域，并拥有多项专利技术。但新能源汽车总体规模尚小。</w:t>
      </w:r>
    </w:p>
    <w:p>
      <w:pPr>
        <w:pStyle w:val="128"/>
      </w:pPr>
      <w:r>
        <w:t>b</w:t>
      </w:r>
      <w:r>
        <w:rPr>
          <w:rFonts w:hint="eastAsia"/>
        </w:rPr>
        <w:t>）宝鸡市蔡家坡主攻专用车，吉利轿车和发动机项目正在建设</w:t>
      </w:r>
    </w:p>
    <w:p>
      <w:pPr>
        <w:pStyle w:val="128"/>
      </w:pPr>
      <w:r>
        <w:rPr>
          <w:rFonts w:hint="eastAsia"/>
        </w:rPr>
        <w:t>2009年宝鸡市高新技术产业开发区在蔡家坡地区成立了高新区汽车工业园筹建处，2009年汽车工业园总体规划经市政府审批通过。2012年蔡家坡经开区被国家工信部授予“国家专用车及零部件产业示范基地”。2015年10月陕西通家汽车股份有限公司的首款纯电动汽车“电牛一号”上市，主要致力于解决城市“最后一公里”物流配送需求。通家公司的目标是到2020年电动汽车产销10万辆，销售收入突破200亿元。另外，陕西省宝鸡华山工程车辆有限责任公司研制生产的新能源环卫车，宝鸡通用汽车公司推出的新能源垃圾清运车。</w:t>
      </w:r>
    </w:p>
    <w:p>
      <w:pPr>
        <w:pStyle w:val="128"/>
      </w:pPr>
      <w:r>
        <w:rPr>
          <w:rFonts w:hint="eastAsia"/>
        </w:rPr>
        <w:t>2014年4月，宝鸡市与吉利集团签署战略合作协议，宝鸡吉利汽车产业基地项目规划投资72亿元，占地1320亩，落户于高新区科技新城，将建设成年产20万辆轿车和40万台沃尔沃发动机的项目。根据机动车出厂合格证数据，吉利旗下的沃尔沃牌插电式混合动力乘用车自2015年5月投产以来到2015年10月，已生产600余量。在宝鸡建设中的吉利汽车项目有可能引进新能源汽车的生产。</w:t>
      </w:r>
    </w:p>
    <w:p>
      <w:pPr>
        <w:pStyle w:val="128"/>
      </w:pPr>
      <w:r>
        <w:rPr>
          <w:rFonts w:hint="eastAsia"/>
        </w:rPr>
        <w:t>c）商洛市与跃迪集团合作，汉中市引进众泰汽车</w:t>
      </w:r>
    </w:p>
    <w:p>
      <w:pPr>
        <w:pStyle w:val="128"/>
      </w:pPr>
      <w:r>
        <w:rPr>
          <w:rFonts w:hint="eastAsia"/>
        </w:rPr>
        <w:t>2014年9月跃迪集团与陕西省商洛市政府合作，依托商洛客车改装厂资源，注册成立陕西跃迪新能源汽车有限公司。公司该项目总占地1000亩、投资建设年产20000辆纯电动客车生产线，预计2015年年底前投入批量化生产，全面竣工投产后可实现年产2万辆电动客车，实现销售收入300亿元。</w:t>
      </w:r>
    </w:p>
    <w:p>
      <w:pPr>
        <w:pStyle w:val="128"/>
      </w:pPr>
      <w:r>
        <w:rPr>
          <w:rFonts w:hint="eastAsia"/>
        </w:rPr>
        <w:t>2014年9月，长沙众泰汽车工业有限公司与汉中市、区两级政府正式签订在汉中建设年产50万辆燃油、电动汽车生产线项目合作协议；同时，由众泰大股东及合作者出资，在汉中注册了陕西金汉汽车公司，并与市、区政府签订了年产6000辆城市电动公交车及新能源客车项目。按照协议，陕西金汉汽车制造有限公司将与原汉中客车有限公司“汉龙”牌客车进行合作生产，分两期投资35亿元，利用铺镇工业园区大蓝鹰电子产业基地，生产纯电动城市公交客车，项目建成后将实现年产6000辆燃油和新能源客车规模。众泰汽车汉中基地暨关键零部件配套产业基地项目，由长沙众泰汽车工业有限公司投资116亿元建设。其中，一期投资36亿元，占地900亩，建设年产10万辆燃油、电动汽车生产线，二期投资建成完成后可扩展至30-50万辆。</w:t>
      </w:r>
    </w:p>
    <w:p>
      <w:pPr>
        <w:pStyle w:val="125"/>
      </w:pPr>
      <w:bookmarkStart w:id="110" w:name="_Toc2772"/>
      <w:r>
        <w:rPr>
          <w:rFonts w:hint="eastAsia"/>
        </w:rPr>
        <w:t>渭南市新能源</w:t>
      </w:r>
      <w:r>
        <w:t>汽车</w:t>
      </w:r>
      <w:r>
        <w:rPr>
          <w:rFonts w:hint="eastAsia"/>
        </w:rPr>
        <w:t>产业</w:t>
      </w:r>
      <w:r>
        <w:t>发展思路</w:t>
      </w:r>
      <w:bookmarkEnd w:id="110"/>
    </w:p>
    <w:p>
      <w:pPr>
        <w:pStyle w:val="126"/>
      </w:pPr>
      <w:bookmarkStart w:id="111" w:name="OLE_LINK152"/>
      <w:bookmarkStart w:id="112" w:name="OLE_LINK151"/>
      <w:r>
        <w:rPr>
          <w:rFonts w:hint="eastAsia"/>
        </w:rPr>
        <w:t>渭南市</w:t>
      </w:r>
      <w:r>
        <w:t>发展</w:t>
      </w:r>
      <w:r>
        <w:rPr>
          <w:rFonts w:hint="eastAsia"/>
        </w:rPr>
        <w:t>新能源汽车</w:t>
      </w:r>
      <w:r>
        <w:t>产业的必要性</w:t>
      </w:r>
      <w:r>
        <w:rPr>
          <w:rFonts w:hint="eastAsia"/>
        </w:rPr>
        <w:t>和存在</w:t>
      </w:r>
      <w:r>
        <w:t>的挑战</w:t>
      </w:r>
    </w:p>
    <w:p>
      <w:pPr>
        <w:pStyle w:val="127"/>
      </w:pPr>
      <w:r>
        <w:rPr>
          <w:rFonts w:hint="eastAsia"/>
        </w:rPr>
        <w:t>渭南市</w:t>
      </w:r>
      <w:r>
        <w:t>发展</w:t>
      </w:r>
      <w:r>
        <w:rPr>
          <w:rFonts w:hint="eastAsia"/>
        </w:rPr>
        <w:t>新能源汽车</w:t>
      </w:r>
      <w:r>
        <w:t>产业的必要性</w:t>
      </w:r>
    </w:p>
    <w:p>
      <w:pPr>
        <w:pStyle w:val="128"/>
      </w:pPr>
      <w:r>
        <w:rPr>
          <w:rFonts w:hint="eastAsia"/>
        </w:rPr>
        <w:t>（1）紧抓汽车</w:t>
      </w:r>
      <w:r>
        <w:t>产业调整机遇，</w:t>
      </w:r>
      <w:r>
        <w:rPr>
          <w:rFonts w:hint="eastAsia"/>
        </w:rPr>
        <w:t>寻求</w:t>
      </w:r>
      <w:r>
        <w:t>产业变革和</w:t>
      </w:r>
      <w:r>
        <w:rPr>
          <w:rFonts w:hint="eastAsia"/>
        </w:rPr>
        <w:t>弯道</w:t>
      </w:r>
      <w:r>
        <w:t>超车</w:t>
      </w:r>
    </w:p>
    <w:p>
      <w:pPr>
        <w:pStyle w:val="128"/>
      </w:pPr>
      <w:r>
        <w:rPr>
          <w:rFonts w:hint="eastAsia"/>
        </w:rPr>
        <w:t>目前，渭南市经济增长方式较为粗放，农业比重较高，第二、三产业比重落后于全省平均水平。社会投资缺乏重大工程、骨干项目支撑带动。而新能源汽车产业链长、覆盖面广、拉动力大，具有良好的经济效益和社会效益，具备成为推动渭南市未来产业发展重要引擎的潜力。因此，渭南市有必要牢牢把握本次国家产业调整及汽车产业转型升级的空前历史机遇，将发展新能源汽车作为渭南经济发展的重要抓手。</w:t>
      </w:r>
    </w:p>
    <w:p>
      <w:pPr>
        <w:pStyle w:val="128"/>
      </w:pPr>
      <w:r>
        <w:rPr>
          <w:rFonts w:hint="eastAsia"/>
        </w:rPr>
        <w:t>（2）发展</w:t>
      </w:r>
      <w:r>
        <w:t>绿色交通，实现经济与环境和谐发展</w:t>
      </w:r>
    </w:p>
    <w:p>
      <w:pPr>
        <w:pStyle w:val="128"/>
      </w:pPr>
      <w:r>
        <w:rPr>
          <w:rFonts w:hint="eastAsia"/>
        </w:rPr>
        <w:t>同时</w:t>
      </w:r>
      <w:r>
        <w:t>，</w:t>
      </w:r>
      <w:r>
        <w:rPr>
          <w:rFonts w:hint="eastAsia"/>
        </w:rPr>
        <w:t>渭南市所处关中城市群已成为全国大气污染最严重的区域之一，被列入全国大气污染重点防治区域“三区十群”。机动车尾气污染已成为本地灰霾天气频现的重要组成因素，并影响了城市的对外形象和地方经济的发展。因此，大气污染防治不仅成为重大民生问题，同时也是渭南市经济转型升级的重要抓手。而发展新能源汽车，既是交通领域应对大气污染的重要举措，也可成为渭南市推广新能源汽车的重要动力。</w:t>
      </w:r>
    </w:p>
    <w:p>
      <w:pPr>
        <w:pStyle w:val="127"/>
      </w:pPr>
      <w:r>
        <w:rPr>
          <w:rFonts w:hint="eastAsia"/>
        </w:rPr>
        <w:t>渭南市</w:t>
      </w:r>
      <w:r>
        <w:t>发展新能源汽车</w:t>
      </w:r>
      <w:r>
        <w:rPr>
          <w:rFonts w:hint="eastAsia"/>
        </w:rPr>
        <w:t>存在</w:t>
      </w:r>
      <w:r>
        <w:t>的挑战</w:t>
      </w:r>
    </w:p>
    <w:p>
      <w:pPr>
        <w:pStyle w:val="128"/>
      </w:pPr>
      <w:r>
        <w:rPr>
          <w:rFonts w:hint="eastAsia"/>
        </w:rPr>
        <w:t>（1）缺少新能源整车龙头企业带动，零部件产业链尚不健全</w:t>
      </w:r>
    </w:p>
    <w:p>
      <w:pPr>
        <w:pStyle w:val="128"/>
      </w:pPr>
      <w:r>
        <w:t>新能源汽车产业的发展需要有具备较强实力的大型整车企业作为支撑，渭南汽车产业发展基础薄弱，尚未有整车企业入驻，</w:t>
      </w:r>
      <w:r>
        <w:rPr>
          <w:rFonts w:hint="eastAsia"/>
        </w:rPr>
        <w:t>沃特玛</w:t>
      </w:r>
      <w:r>
        <w:t>新能源汽车动力电池项目建设刚刚启动。陕西省2014年汽车产量37.5万辆，产销规模落后于其它汽车制造发达省份。此外，渭南本地新能源汽车相关零部件配套产业链尚未建立，本地化配套能力不强，且缺乏高水平的研发服务平台，自主研发能力极弱，也制约了渭南新能源汽车产业的发展。</w:t>
      </w:r>
    </w:p>
    <w:p>
      <w:pPr>
        <w:pStyle w:val="128"/>
      </w:pPr>
      <w:r>
        <w:rPr>
          <w:rFonts w:hint="eastAsia"/>
        </w:rPr>
        <w:t>（2）汽车及零部件专业人才和核心技术匮乏，发展后劲不足</w:t>
      </w:r>
    </w:p>
    <w:p>
      <w:pPr>
        <w:pStyle w:val="128"/>
      </w:pPr>
      <w:r>
        <w:t>汽车产业属劳动密集型产业，需要大量的铸造、机加工、装配、产品检验以及设计人员等。渭南虽然劳动力资源丰富，但是缺乏产业工人和具有一定技术及管理才能的中高端人才，同时当前渭南对人才的吸引力还十分有限。汽车产业高级管理人才和高级技术人员缺乏</w:t>
      </w:r>
      <w:r>
        <w:rPr>
          <w:rFonts w:hint="eastAsia"/>
        </w:rPr>
        <w:t>。</w:t>
      </w:r>
    </w:p>
    <w:p>
      <w:pPr>
        <w:pStyle w:val="128"/>
      </w:pPr>
      <w:r>
        <w:rPr>
          <w:rFonts w:hint="eastAsia"/>
        </w:rPr>
        <w:t>（3）推广新能源汽车有较大的财政压力</w:t>
      </w:r>
    </w:p>
    <w:p>
      <w:pPr>
        <w:pStyle w:val="128"/>
      </w:pPr>
      <w:r>
        <w:rPr>
          <w:rFonts w:hint="eastAsia"/>
        </w:rPr>
        <w:t>目前新能源汽车产业发展还处于起步阶段，其推广和发展还离不开地方政府的支持。新能源汽车的研发和产业化是技术和资金密集型领域，需要大量的资金投入，渭南要发展本地新能源汽车产业，离不开政府的大力支持。此外，目前新能源汽车购置成本较高，需要配套建设充换电等基础设施，推广使用需要地方配套相应的财政补贴。大力扶持新能源汽车产业发展和产品推广对渭南市财政造成一定的压力。</w:t>
      </w:r>
    </w:p>
    <w:p>
      <w:pPr>
        <w:pStyle w:val="126"/>
      </w:pPr>
      <w:r>
        <w:rPr>
          <w:rFonts w:hint="eastAsia"/>
        </w:rPr>
        <w:t>新能源汽车</w:t>
      </w:r>
      <w:r>
        <w:t>产业</w:t>
      </w:r>
      <w:r>
        <w:rPr>
          <w:rFonts w:hint="eastAsia"/>
        </w:rPr>
        <w:t>发展策略</w:t>
      </w:r>
    </w:p>
    <w:p>
      <w:pPr>
        <w:pStyle w:val="128"/>
      </w:pPr>
      <w:r>
        <w:rPr>
          <w:rFonts w:hint="eastAsia"/>
        </w:rPr>
        <w:t>以纯电驱动为新能源汽车发展和汽车工业转型的主要战略取向，当前重点推进纯电动汽车和插电式混合动力汽车产业化，推进新能源汽车及零部件研究试验基地建设，研究开发新能源汽车专用平台，构建产业技术创新联盟，推进相关基础设施建设。重点突破高性能动力电池、电机、电控等关键零部件和材料核心技术，大幅度提高动力电池和电机安全性与可靠性，降低成本；加强电制动等电动功能部件的研发，提高车身结构和材料轻量化技术水平；推进燃料电池汽车的研究开发和示范应用；依靠</w:t>
      </w:r>
      <w:r>
        <w:t>并培育重点生产企业，打造新能源汽车生产基地；扩大整车生产能力，建立涵盖整车、动力电池、驱动电机及控制系统、充换电设备、动力电池回收的完整的新能源汽车产业链。</w:t>
      </w:r>
      <w:r>
        <w:rPr>
          <w:rFonts w:hint="eastAsia"/>
        </w:rPr>
        <w:t>建立完整的新能源汽车政策框架体系，强化财税、技术、管理、金融政策的引导和支持力度，促进新能源汽车产业快速发展。</w:t>
      </w:r>
    </w:p>
    <w:bookmarkEnd w:id="111"/>
    <w:bookmarkEnd w:id="112"/>
    <w:p>
      <w:pPr>
        <w:pStyle w:val="129"/>
      </w:pPr>
      <w:r>
        <w:drawing>
          <wp:inline distT="0" distB="0" distL="0" distR="0">
            <wp:extent cx="3907790" cy="2596515"/>
            <wp:effectExtent l="0" t="0" r="0" b="0"/>
            <wp:docPr id="227" name="图片 23" descr="E:\20160802 渭南市新能源新材料产业规划\02 查找资料\699bf7cc633628ff-20cd75a1a0b73a30-83e4c02d7985bf53ecd153797bd61f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3" descr="E:\20160802 渭南市新能源新材料产业规划\02 查找资料\699bf7cc633628ff-20cd75a1a0b73a30-83e4c02d7985bf53ecd153797bd61f7c.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3907790" cy="2596515"/>
                    </a:xfrm>
                    <a:prstGeom prst="rect">
                      <a:avLst/>
                    </a:prstGeom>
                    <a:noFill/>
                    <a:ln>
                      <a:noFill/>
                    </a:ln>
                  </pic:spPr>
                </pic:pic>
              </a:graphicData>
            </a:graphic>
          </wp:inline>
        </w:drawing>
      </w:r>
    </w:p>
    <w:p>
      <w:pPr>
        <w:pStyle w:val="129"/>
      </w:pPr>
      <w:r>
        <w:drawing>
          <wp:inline distT="0" distB="0" distL="0" distR="0">
            <wp:extent cx="2511425" cy="1619885"/>
            <wp:effectExtent l="0" t="0" r="3175" b="0"/>
            <wp:docPr id="228" name="图片 24" descr="E:\20160802 渭南市新能源新材料产业规划\02 查找资料\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4" descr="E:\20160802 渭南市新能源新材料产业规划\02 查找资料\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2511777" cy="1620000"/>
                    </a:xfrm>
                    <a:prstGeom prst="rect">
                      <a:avLst/>
                    </a:prstGeom>
                    <a:noFill/>
                    <a:ln>
                      <a:noFill/>
                    </a:ln>
                  </pic:spPr>
                </pic:pic>
              </a:graphicData>
            </a:graphic>
          </wp:inline>
        </w:drawing>
      </w:r>
      <w:r>
        <w:drawing>
          <wp:inline distT="0" distB="0" distL="0" distR="0">
            <wp:extent cx="2152015" cy="1619885"/>
            <wp:effectExtent l="0" t="0" r="635" b="0"/>
            <wp:docPr id="229" name="图片 22" descr="E:\20160802 渭南市新能源新材料产业规划\02 查找资料\179e98d1f95c8b1b-5f4fd5266fcb8aaf-db8d7f75295428dde07f00eeba43e9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 descr="E:\20160802 渭南市新能源新材料产业规划\02 查找资料\179e98d1f95c8b1b-5f4fd5266fcb8aaf-db8d7f75295428dde07f00eeba43e90a.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2152648" cy="1620000"/>
                    </a:xfrm>
                    <a:prstGeom prst="rect">
                      <a:avLst/>
                    </a:prstGeom>
                    <a:noFill/>
                    <a:ln>
                      <a:noFill/>
                    </a:ln>
                  </pic:spPr>
                </pic:pic>
              </a:graphicData>
            </a:graphic>
          </wp:inline>
        </w:drawing>
      </w:r>
    </w:p>
    <w:p>
      <w:pPr>
        <w:pStyle w:val="137"/>
        <w:numPr>
          <w:ilvl w:val="0"/>
          <w:numId w:val="16"/>
        </w:numPr>
      </w:pPr>
      <w:r>
        <w:rPr>
          <w:rFonts w:hint="eastAsia"/>
        </w:rPr>
        <w:t>新能源汽车</w:t>
      </w:r>
      <w:r>
        <w:t>产业发展</w:t>
      </w:r>
      <w:r>
        <w:rPr>
          <w:rFonts w:hint="eastAsia"/>
        </w:rPr>
        <w:t>方向</w:t>
      </w:r>
      <w:r>
        <w:t>示意图</w:t>
      </w:r>
    </w:p>
    <w:p>
      <w:pPr>
        <w:pStyle w:val="128"/>
      </w:pPr>
      <w:r>
        <w:rPr>
          <w:rFonts w:hint="eastAsia"/>
        </w:rPr>
        <w:t>重点</w:t>
      </w:r>
      <w:r>
        <w:t>打</w:t>
      </w:r>
      <w:r>
        <w:rPr>
          <w:rFonts w:hint="eastAsia"/>
        </w:rPr>
        <w:t>造</w:t>
      </w:r>
      <w:r>
        <w:t>高新、</w:t>
      </w:r>
      <w:r>
        <w:rPr>
          <w:rFonts w:hint="eastAsia"/>
        </w:rPr>
        <w:t>大荔</w:t>
      </w:r>
      <w:r>
        <w:t>新能源汽车园区，发展新能源汽车</w:t>
      </w:r>
      <w:r>
        <w:rPr>
          <w:rFonts w:hint="eastAsia"/>
        </w:rPr>
        <w:t>电池</w:t>
      </w:r>
      <w:r>
        <w:t>、电机、电控等核心组件，依托钣金焊接、结构件加工、表面处理协作配套基础，</w:t>
      </w:r>
      <w:r>
        <w:rPr>
          <w:rFonts w:hint="eastAsia"/>
        </w:rPr>
        <w:t>推进</w:t>
      </w:r>
      <w:r>
        <w:t>中联重科</w:t>
      </w:r>
      <w:r>
        <w:rPr>
          <w:rFonts w:hint="eastAsia"/>
        </w:rPr>
        <w:t>转型</w:t>
      </w:r>
      <w:r>
        <w:t>发展新能源专用车。加快</w:t>
      </w:r>
      <w:r>
        <w:rPr>
          <w:rFonts w:hint="eastAsia"/>
        </w:rPr>
        <w:t>推进沃特玛</w:t>
      </w:r>
      <w:r>
        <w:t>新能源电池项目建设，积极对接北汽新能源、汉能集团、星美集团、比亚迪、上汽、陕汽等整车生产企业，争取项目早日落户渭南，打造高端新能源汽车研发生产制造基地。</w:t>
      </w:r>
    </w:p>
    <w:p>
      <w:pPr>
        <w:pStyle w:val="126"/>
      </w:pPr>
      <w:r>
        <w:rPr>
          <w:rFonts w:hint="eastAsia"/>
        </w:rPr>
        <w:t>新能源汽车产业</w:t>
      </w:r>
      <w:r>
        <w:t>发展目标</w:t>
      </w:r>
    </w:p>
    <w:p>
      <w:pPr>
        <w:pStyle w:val="128"/>
      </w:pPr>
      <w:r>
        <w:rPr>
          <w:rFonts w:hint="eastAsia"/>
        </w:rPr>
        <w:t>依托国家产业政策导向及“一带一路”战略机遇，</w:t>
      </w:r>
      <w:r>
        <w:t>逐步形成一批依托渭南、立足全省、辐射</w:t>
      </w:r>
      <w:r>
        <w:rPr>
          <w:rFonts w:hint="eastAsia"/>
        </w:rPr>
        <w:t>全国</w:t>
      </w:r>
      <w:r>
        <w:t>、面向</w:t>
      </w:r>
      <w:r>
        <w:rPr>
          <w:rFonts w:hint="eastAsia"/>
        </w:rPr>
        <w:t>世界</w:t>
      </w:r>
      <w:r>
        <w:t>的知名企业集团，利用10年左右时间，将</w:t>
      </w:r>
      <w:r>
        <w:rPr>
          <w:rFonts w:hint="eastAsia"/>
        </w:rPr>
        <w:t>渭南</w:t>
      </w:r>
      <w:r>
        <w:t>发展成为西北地区重要的新能源汽车关键零部件产业聚集区。</w:t>
      </w:r>
    </w:p>
    <w:p>
      <w:pPr>
        <w:pStyle w:val="128"/>
      </w:pPr>
      <w:r>
        <w:rPr>
          <w:rFonts w:hint="eastAsia"/>
        </w:rPr>
        <w:t>到2020年，实现工业总产值达到300亿元。培育拥有著名品牌和自主知识产权、核心竞争力强的百亿级企业</w:t>
      </w:r>
      <w:r>
        <w:t>3</w:t>
      </w:r>
      <w:r>
        <w:rPr>
          <w:rFonts w:hint="eastAsia"/>
        </w:rPr>
        <w:t>家、10亿级企业</w:t>
      </w:r>
      <w:r>
        <w:t>5</w:t>
      </w:r>
      <w:r>
        <w:rPr>
          <w:rFonts w:hint="eastAsia"/>
        </w:rPr>
        <w:t>家以上；新增就业</w:t>
      </w:r>
      <w:r>
        <w:t>5</w:t>
      </w:r>
      <w:r>
        <w:rPr>
          <w:rFonts w:hint="eastAsia"/>
        </w:rPr>
        <w:t>000人；招商引进</w:t>
      </w:r>
      <w:r>
        <w:t>2</w:t>
      </w:r>
      <w:r>
        <w:rPr>
          <w:rFonts w:hint="eastAsia"/>
        </w:rPr>
        <w:t>家～</w:t>
      </w:r>
      <w:r>
        <w:t>3</w:t>
      </w:r>
      <w:r>
        <w:rPr>
          <w:rFonts w:hint="eastAsia"/>
        </w:rPr>
        <w:t>家新能源专用车制造企业，引进</w:t>
      </w:r>
      <w:r>
        <w:t>4</w:t>
      </w:r>
      <w:r>
        <w:rPr>
          <w:rFonts w:hint="eastAsia"/>
        </w:rPr>
        <w:t>家～</w:t>
      </w:r>
      <w:r>
        <w:t>6</w:t>
      </w:r>
      <w:r>
        <w:rPr>
          <w:rFonts w:hint="eastAsia"/>
        </w:rPr>
        <w:t>家电机及电控企业，引进多家动力电池原材料生产企业，引进电空调、电转向、电制动、充电设施等零部件企业并实现投产，形成较为完整的新能源汽车零部件产业链；汽车仓储物流、研发、教育、培训等生产性服务业规模持续扩大。</w:t>
      </w:r>
    </w:p>
    <w:p>
      <w:pPr>
        <w:pStyle w:val="128"/>
      </w:pPr>
      <w:r>
        <w:rPr>
          <w:rFonts w:hint="eastAsia"/>
        </w:rPr>
        <w:t>到2025年，实现工业总产值达到</w:t>
      </w:r>
      <w:r>
        <w:t>7</w:t>
      </w:r>
      <w:r>
        <w:rPr>
          <w:rFonts w:hint="eastAsia"/>
        </w:rPr>
        <w:t>00亿元。进一步扩充园区面积，引进</w:t>
      </w:r>
      <w:r>
        <w:t>2</w:t>
      </w:r>
      <w:r>
        <w:rPr>
          <w:rFonts w:hint="eastAsia"/>
        </w:rPr>
        <w:t>家～</w:t>
      </w:r>
      <w:r>
        <w:t>3</w:t>
      </w:r>
      <w:r>
        <w:rPr>
          <w:rFonts w:hint="eastAsia"/>
        </w:rPr>
        <w:t>家乘用车整车生产企业，形成年产</w:t>
      </w:r>
      <w:r>
        <w:t>3</w:t>
      </w:r>
      <w:r>
        <w:rPr>
          <w:rFonts w:hint="eastAsia"/>
        </w:rPr>
        <w:t>0万辆的生产能力；引进</w:t>
      </w:r>
      <w:r>
        <w:t>2</w:t>
      </w:r>
      <w:r>
        <w:rPr>
          <w:rFonts w:hint="eastAsia"/>
        </w:rPr>
        <w:t>家～</w:t>
      </w:r>
      <w:r>
        <w:t>4</w:t>
      </w:r>
      <w:r>
        <w:rPr>
          <w:rFonts w:hint="eastAsia"/>
        </w:rPr>
        <w:t>家新能源专用车整车企业；培育出</w:t>
      </w:r>
      <w:r>
        <w:t>2</w:t>
      </w:r>
      <w:r>
        <w:rPr>
          <w:rFonts w:hint="eastAsia"/>
        </w:rPr>
        <w:t>家～</w:t>
      </w:r>
      <w:r>
        <w:t>3</w:t>
      </w:r>
      <w:r>
        <w:rPr>
          <w:rFonts w:hint="eastAsia"/>
        </w:rPr>
        <w:t>家新能源汽车零部件行业龙头企业；新能源汽车教育及研发水平持续提升，成为集制造、研发、科教、展示等功能集于一身的西部重要的新能源汽车产业集群。</w:t>
      </w:r>
    </w:p>
    <w:p>
      <w:pPr>
        <w:pStyle w:val="128"/>
      </w:pPr>
      <w:r>
        <w:rPr>
          <w:rFonts w:hint="eastAsia"/>
        </w:rPr>
        <w:t>重点培育渭南市</w:t>
      </w:r>
      <w:r>
        <w:t>高新区新能源汽车产业园区，</w:t>
      </w:r>
      <w:r>
        <w:rPr>
          <w:rFonts w:hint="eastAsia"/>
        </w:rPr>
        <w:t>兼顾</w:t>
      </w:r>
      <w:r>
        <w:t>发展大荔县新能源汽车园区</w:t>
      </w:r>
      <w:r>
        <w:rPr>
          <w:rFonts w:hint="eastAsia"/>
        </w:rPr>
        <w:t>，</w:t>
      </w:r>
      <w:r>
        <w:t>最终形成一主一副两个</w:t>
      </w:r>
      <w:r>
        <w:rPr>
          <w:rFonts w:hint="eastAsia"/>
        </w:rPr>
        <w:t>新能源汽车</w:t>
      </w:r>
      <w:r>
        <w:t>产业集群。</w:t>
      </w:r>
    </w:p>
    <w:p>
      <w:pPr>
        <w:pStyle w:val="125"/>
      </w:pPr>
      <w:bookmarkStart w:id="113" w:name="_Toc2060"/>
      <w:r>
        <w:rPr>
          <w:rFonts w:hint="eastAsia"/>
        </w:rPr>
        <w:t>主体产业功能</w:t>
      </w:r>
      <w:r>
        <w:t>规划</w:t>
      </w:r>
      <w:bookmarkEnd w:id="113"/>
    </w:p>
    <w:p>
      <w:pPr>
        <w:pStyle w:val="126"/>
      </w:pPr>
      <w:r>
        <w:rPr>
          <w:rFonts w:hint="eastAsia"/>
        </w:rPr>
        <w:t>技术</w:t>
      </w:r>
      <w:r>
        <w:t>研发</w:t>
      </w:r>
    </w:p>
    <w:p>
      <w:pPr>
        <w:pStyle w:val="128"/>
      </w:pPr>
      <w:r>
        <w:rPr>
          <w:rFonts w:hint="eastAsia"/>
        </w:rPr>
        <w:t>在技术研发建设方面，鼓励企业开展新能源汽车核心零部件技术及配套设施技术研发工作，充分利用高等院校、科研机构强大的技术研发能力和丰富人才资源，加强与国内优秀高校和高新区教育科技产业园的技术和人才合作，开展电池、整车动力驱动模块、电机、电控、充电基础设施等核心技术攻关，同时整合渭南市其他产业先进技术研发工作，开展多方面技术融合的研发，形成市场核心技术竞争力。</w:t>
      </w:r>
    </w:p>
    <w:p>
      <w:pPr>
        <w:pStyle w:val="128"/>
      </w:pPr>
      <w:r>
        <w:rPr>
          <w:rFonts w:hint="eastAsia"/>
        </w:rPr>
        <w:t>积极推进比亚迪和陕西汽车整车企业新能源汽车整车研发、沃特玛和陕西力度的动力电池研发建设，加强陕西捷普和西安正麒在电机和电机控制器的研发能力，结合渭南较为先进的3D打印技术，开展新能源汽车关键零部件生产制造研究；同时，充分承接西安研发和人才资源优势，发挥西安交大、西北大学、西北工大、西北有色金属研究院等优秀的研发机构和科技精英人才，从事科技创新和科研成果产业化、规模化。</w:t>
      </w:r>
    </w:p>
    <w:p>
      <w:pPr>
        <w:pStyle w:val="128"/>
      </w:pPr>
      <w:r>
        <w:rPr>
          <w:rFonts w:hint="eastAsia"/>
        </w:rPr>
        <w:t>在技术研发支持和保障方面，针对核心产业的关键性技术和新能源汽车技术瓶颈设立科研经费支持，推进龙头企业和高校设立研发中心，整合企业和高校现有平台资源，引进领先技术，采取自主创新与合作研发相结合的方式建设公共基础性研发平台。</w:t>
      </w:r>
    </w:p>
    <w:p>
      <w:pPr>
        <w:pStyle w:val="128"/>
      </w:pPr>
      <w:r>
        <w:rPr>
          <w:rFonts w:hint="eastAsia"/>
        </w:rPr>
        <w:t>发展</w:t>
      </w:r>
      <w:r>
        <w:t>充电充气技术与设备。</w:t>
      </w:r>
      <w:r>
        <w:rPr>
          <w:rFonts w:hint="eastAsia"/>
        </w:rPr>
        <w:t>配套</w:t>
      </w:r>
      <w:r>
        <w:t>发展慢速充电设备、车载充电设备、大功率快速充电设备以及电池的快换技术及设备。鼓励研发充电设施接网、计量计费、监控等技术。推进与智能电网相融合的能量转换、充电、电池组检测维护技术与设备的研发与产业化。鼓励发展LNG汽车加气设备。加快发展充电站、充气站的安全配套设备。</w:t>
      </w:r>
    </w:p>
    <w:p>
      <w:pPr>
        <w:pStyle w:val="128"/>
      </w:pPr>
      <w:bookmarkStart w:id="114" w:name="OLE_LINK42"/>
      <w:r>
        <w:rPr>
          <w:rFonts w:hint="eastAsia"/>
        </w:rPr>
        <w:t>发展</w:t>
      </w:r>
      <w:r>
        <w:t>车网融合技术。探索新能源汽车作为移动式储能单元</w:t>
      </w:r>
      <w:bookmarkEnd w:id="114"/>
      <w:r>
        <w:t>与电网实现能量和信息双向互动的机制。</w:t>
      </w:r>
    </w:p>
    <w:p>
      <w:pPr>
        <w:pStyle w:val="126"/>
      </w:pPr>
      <w:r>
        <w:rPr>
          <w:rFonts w:hint="eastAsia"/>
        </w:rPr>
        <w:t>汽车零部件</w:t>
      </w:r>
      <w:r>
        <w:t>及整车制造</w:t>
      </w:r>
    </w:p>
    <w:p>
      <w:pPr>
        <w:pStyle w:val="127"/>
      </w:pPr>
      <w:r>
        <w:t>新能源汽车零部件制造</w:t>
      </w:r>
    </w:p>
    <w:p>
      <w:pPr>
        <w:pStyle w:val="128"/>
      </w:pPr>
      <w:r>
        <w:rPr>
          <w:rFonts w:hint="eastAsia"/>
        </w:rPr>
        <w:t>渭南市应抓住新能源汽车产业发展的机遇期，优先发展动力电池、电机及电机控制器等新能源汽车零部件产业，逐步培育出一批上下游关键零部件配套企业，打造完整的新能源汽车核心零部件产业链，为进一步发展新能源汽车整车制造建立基础。</w:t>
      </w:r>
    </w:p>
    <w:p>
      <w:pPr>
        <w:pStyle w:val="128"/>
      </w:pPr>
      <w:r>
        <w:rPr>
          <w:rFonts w:hint="eastAsia"/>
        </w:rPr>
        <w:t>（1）打造西部最大的动力电池生产基地</w:t>
      </w:r>
    </w:p>
    <w:p>
      <w:pPr>
        <w:pStyle w:val="128"/>
      </w:pPr>
      <w:r>
        <w:rPr>
          <w:rFonts w:hint="eastAsia"/>
        </w:rPr>
        <w:t>渭南市</w:t>
      </w:r>
      <w:r>
        <w:t>应</w:t>
      </w:r>
      <w:r>
        <w:rPr>
          <w:rFonts w:hint="eastAsia"/>
        </w:rPr>
        <w:t>充分利用已落户的新能源汽车电池项目，吸引正极材料、负极材料、电解液、隔膜等动力电池原材料企业来渭南投资建厂，形成完整的动力电池产业链。同时加强动力电池企业招商引资，再引进多家优秀的动力电池企业落户渭南，在3年～5年时间内打造成年产</w:t>
      </w:r>
      <w:r>
        <w:t>20</w:t>
      </w:r>
      <w:r>
        <w:rPr>
          <w:rFonts w:hint="eastAsia"/>
        </w:rPr>
        <w:t>GWh～</w:t>
      </w:r>
      <w:r>
        <w:t>3</w:t>
      </w:r>
      <w:r>
        <w:rPr>
          <w:rFonts w:hint="eastAsia"/>
        </w:rPr>
        <w:t>0GWh的动力电池产业集聚区。鼓励动力电池企业投入核心技术，提高产品研发能力，培育和发展一批专业化程度高、研发实力强的动力电池企业，将渭南建设成西部最大的动力电池生产基地。</w:t>
      </w:r>
    </w:p>
    <w:p>
      <w:pPr>
        <w:pStyle w:val="128"/>
      </w:pPr>
      <w:r>
        <w:rPr>
          <w:rFonts w:hint="eastAsia"/>
        </w:rPr>
        <w:t>（2）建设国内外先进的电机及电控生产项目</w:t>
      </w:r>
    </w:p>
    <w:p>
      <w:pPr>
        <w:pStyle w:val="128"/>
      </w:pPr>
      <w:r>
        <w:rPr>
          <w:rFonts w:hint="eastAsia"/>
        </w:rPr>
        <w:t>渭南市在发展动力电池产业的同时，积极吸引国内外先进的电机及电机控制器生产项目落户渭南，逐步形成年产</w:t>
      </w:r>
      <w:r>
        <w:t>30</w:t>
      </w:r>
      <w:r>
        <w:rPr>
          <w:rFonts w:hint="eastAsia"/>
        </w:rPr>
        <w:t>万台套驱动电机系统的生产规模。鼓励电机及电机控制器企业加大研发投入，发展国际先进水平的电机及控制器技术，将渭南建设成国内外先进的电机及电机控制器生产基地。</w:t>
      </w:r>
    </w:p>
    <w:p>
      <w:pPr>
        <w:pStyle w:val="128"/>
      </w:pPr>
    </w:p>
    <w:p>
      <w:pPr>
        <w:pStyle w:val="127"/>
      </w:pPr>
      <w:r>
        <w:rPr>
          <w:rFonts w:hint="eastAsia"/>
        </w:rPr>
        <w:t>新能源汽车整车制造</w:t>
      </w:r>
    </w:p>
    <w:p>
      <w:pPr>
        <w:pStyle w:val="128"/>
      </w:pPr>
      <w:r>
        <w:rPr>
          <w:rFonts w:hint="eastAsia"/>
        </w:rPr>
        <w:t>新能源汽车整车项目制造功能的引入将汇集产业链新兴企业，对带动渭南市本地的动力电池、驱动电机、电控系统、充电设施、传动系统等一、二、三级零部件配套企业的发展有积极的促进作用，并可完善新能源汽车产业体系，壮大渭南市工业经济规模。</w:t>
      </w:r>
    </w:p>
    <w:p>
      <w:pPr>
        <w:pStyle w:val="128"/>
      </w:pPr>
      <w:r>
        <w:rPr>
          <w:rFonts w:hint="eastAsia"/>
        </w:rPr>
        <w:t>（1）近期以专用车项目为整车项目引进的突破口</w:t>
      </w:r>
    </w:p>
    <w:p>
      <w:pPr>
        <w:pStyle w:val="128"/>
      </w:pPr>
      <w:r>
        <w:rPr>
          <w:rFonts w:hint="eastAsia"/>
        </w:rPr>
        <w:t>把握专用车生产资质下放省级政府审批的机遇，充分利用陕西专用车基础优势，发掘沃特玛产业联盟企业潜力，积极引入新能源专用车整车项目。</w:t>
      </w:r>
    </w:p>
    <w:p>
      <w:pPr>
        <w:pStyle w:val="128"/>
      </w:pPr>
      <w:r>
        <w:rPr>
          <w:rFonts w:hint="eastAsia"/>
        </w:rPr>
        <w:t>（2）中远期可考虑引进新能源乘用车整车生产项目</w:t>
      </w:r>
    </w:p>
    <w:p>
      <w:pPr>
        <w:pStyle w:val="128"/>
      </w:pPr>
      <w:r>
        <w:rPr>
          <w:rFonts w:hint="eastAsia"/>
        </w:rPr>
        <w:t>新能源乘用车的市场规模潜力巨大，对地方税收的贡献效果更加明显，中远期可考虑引进中高端乘用车整车制造项目，促进渭南市新能源乘用车零部件供应企业的发展，与省内比亚迪、陕汽</w:t>
      </w:r>
      <w:r>
        <w:t>、</w:t>
      </w:r>
      <w:r>
        <w:rPr>
          <w:rFonts w:hint="eastAsia"/>
        </w:rPr>
        <w:t>吉利、众泰等乘用车整车生产项目形成聚集效应。</w:t>
      </w:r>
    </w:p>
    <w:p>
      <w:pPr>
        <w:pStyle w:val="126"/>
      </w:pPr>
      <w:bookmarkStart w:id="115" w:name="_Toc444843530"/>
      <w:r>
        <w:t>推广应用及展示</w:t>
      </w:r>
      <w:bookmarkEnd w:id="115"/>
    </w:p>
    <w:p>
      <w:pPr>
        <w:pStyle w:val="128"/>
      </w:pPr>
      <w:r>
        <w:rPr>
          <w:rFonts w:hint="eastAsia"/>
        </w:rPr>
        <w:t>新能源汽车作为新兴产业，通常需要较长的培育周期，同时需要较大的财力投入，才可将产业推向自主发展阶段。而推广应用及展示功能的实现更具有操作性，对财力投入的要求相对小，同时可起到加速产业发展，缩短培育期的作用。</w:t>
      </w:r>
    </w:p>
    <w:p>
      <w:pPr>
        <w:pStyle w:val="128"/>
      </w:pPr>
      <w:r>
        <w:rPr>
          <w:rFonts w:hint="eastAsia"/>
        </w:rPr>
        <w:t>（1）建设新能源汽车展示及体验中心</w:t>
      </w:r>
    </w:p>
    <w:p>
      <w:pPr>
        <w:pStyle w:val="128"/>
      </w:pPr>
      <w:r>
        <w:rPr>
          <w:rFonts w:hint="eastAsia"/>
        </w:rPr>
        <w:t>设立新能源汽车展示及体验中心，通过多媒体技术、展板、壁画、实物以及互动体验等多种方式充分展现渭南市新能源产业的发展面貌，展示渭南市的优势资源，宣传本地新能源汽车产业，为本地企业拓展更广阔市场以及争取政府支持提供条件。</w:t>
      </w:r>
    </w:p>
    <w:p>
      <w:pPr>
        <w:pStyle w:val="128"/>
      </w:pPr>
      <w:r>
        <w:rPr>
          <w:rFonts w:hint="eastAsia"/>
        </w:rPr>
        <w:t>（2）建设新能源汽车监控平台</w:t>
      </w:r>
    </w:p>
    <w:p>
      <w:pPr>
        <w:pStyle w:val="128"/>
      </w:pPr>
      <w:r>
        <w:rPr>
          <w:rFonts w:hint="eastAsia"/>
        </w:rPr>
        <w:t>建立产业园新能源汽车运行监控及数据采集中心，对渭南市全市范围内新能源汽车进行实时监控，及时发现和排除车辆运行安全隐患，提升故障应急响应速度；利用大数据技术对运营数据进行分析，为地方智能交通设计和新能源汽车设计提供用户使用数据支撑。</w:t>
      </w:r>
    </w:p>
    <w:p>
      <w:pPr>
        <w:pStyle w:val="128"/>
      </w:pPr>
      <w:r>
        <w:rPr>
          <w:rFonts w:hint="eastAsia"/>
        </w:rPr>
        <w:t>（3）开发新能源汽车工业旅游项目</w:t>
      </w:r>
    </w:p>
    <w:p>
      <w:pPr>
        <w:pStyle w:val="128"/>
      </w:pPr>
      <w:r>
        <w:rPr>
          <w:rFonts w:hint="eastAsia"/>
        </w:rPr>
        <w:t>开发产业园新能源汽车生产制造工业旅游项目，让市民和游客走进企业内部，通过参观工业景观、工艺流程、生产场面等来满足游客的求知、好奇、购物等旅游需求，提高渭南市新能源汽车相关企业产品和品牌认知，提升后期的传播和消费带来巨大的市场潜力。</w:t>
      </w:r>
    </w:p>
    <w:p>
      <w:pPr>
        <w:pStyle w:val="128"/>
      </w:pPr>
      <w:r>
        <w:rPr>
          <w:rFonts w:hint="eastAsia"/>
        </w:rPr>
        <w:t>（4）探索园区新能源班车、摆渡车、分时租赁服务</w:t>
      </w:r>
    </w:p>
    <w:p>
      <w:pPr>
        <w:pStyle w:val="128"/>
      </w:pPr>
      <w:r>
        <w:rPr>
          <w:rFonts w:hint="eastAsia"/>
        </w:rPr>
        <w:t>园区班车和摆渡车是产业园区不可或缺的配套交通工具，主要服务于企业工作人员、居民，或旅游参观人员，满足上下班、商务出行、旅游线路出行等，合理安排出车的时间、线路、班次，满足客户基本的出行需求。</w:t>
      </w:r>
    </w:p>
    <w:p>
      <w:pPr>
        <w:pStyle w:val="128"/>
      </w:pPr>
      <w:r>
        <w:rPr>
          <w:rFonts w:hint="eastAsia"/>
        </w:rPr>
        <w:t>产业园可以探索开展新能源汽车分时租赁服务，积极寻求与新能源汽车整车企业、租赁公司或市场参与者的合作，合理规划租赁网点布局。目前国内发展新能源汽车分时租赁的行业包括汽车整车生产厂家，如北汽、上汽、长安和东风等；传统汽车租赁公司，如一嗨租车、易卡租车等；独立的市场参与者，如车纷享、易多汽车共享、微公交等。</w:t>
      </w:r>
    </w:p>
    <w:p>
      <w:pPr>
        <w:pStyle w:val="128"/>
      </w:pPr>
      <w:r>
        <w:rPr>
          <w:rFonts w:hint="eastAsia"/>
        </w:rPr>
        <w:t>产业园分时租赁服务满足居民绿色出行需求，宣传和推广应用新能源汽车，拉动新能源汽车相关产业的发展，充分发挥产业园充电桩功能；在满足客户“全程自助、按需付费、随租随还”出行需求外，提高智能终端平台服务体系，提供便利的查询和预约业务，对用户租赁、使用、计费和结算整个服务周期提供全程管理，实现系统全自动运营，实现高效、绿色、便捷和智能的租赁服务体系。对班车和摆渡车的车身图案进行个性化设计，突出产业园新能源汽车发展主题和文化，有效地向外界宣传产业园。</w:t>
      </w:r>
    </w:p>
    <w:p>
      <w:pPr>
        <w:pStyle w:val="128"/>
        <w:sectPr>
          <w:pgSz w:w="11906" w:h="16838"/>
          <w:pgMar w:top="1440" w:right="1588" w:bottom="1440" w:left="1588" w:header="851" w:footer="992" w:gutter="0"/>
          <w:pgNumType w:fmt="decimal"/>
          <w:cols w:space="720" w:num="1"/>
          <w:docGrid w:linePitch="312" w:charSpace="0"/>
        </w:sectPr>
      </w:pPr>
    </w:p>
    <w:p>
      <w:pPr>
        <w:pStyle w:val="123"/>
      </w:pPr>
      <w:bookmarkStart w:id="116" w:name="_Toc20202"/>
      <w:r>
        <w:rPr>
          <w:rFonts w:hint="eastAsia"/>
        </w:rPr>
        <w:t>产业空间布局</w:t>
      </w:r>
      <w:bookmarkEnd w:id="116"/>
    </w:p>
    <w:p>
      <w:pPr>
        <w:pStyle w:val="128"/>
      </w:pPr>
      <w:bookmarkStart w:id="117" w:name="OLE_LINK84"/>
      <w:r>
        <w:rPr>
          <w:rFonts w:hint="eastAsia"/>
        </w:rPr>
        <w:t>作为“一带一路”的起点城</w:t>
      </w:r>
      <w:bookmarkEnd w:id="117"/>
      <w:r>
        <w:rPr>
          <w:rFonts w:hint="eastAsia"/>
        </w:rPr>
        <w:t>市，渭南通过大力推进传统产业转型升级不断增强、新兴产业蓬勃兴起、工业园区迈向高端发展，使渭南经济发展优势凸显，为每一个落户渭南的企业提供发展壮大的广阔空间。</w:t>
      </w:r>
      <w:bookmarkStart w:id="118" w:name="OLE_LINK111"/>
      <w:r>
        <w:rPr>
          <w:rFonts w:hint="eastAsia"/>
        </w:rPr>
        <w:t>渭南正在形成清洁能源化工、先进装备制造、绿色冶金建材、新能源汽车、3D制造和光电产业“六大优势产业集群”</w:t>
      </w:r>
      <w:bookmarkEnd w:id="118"/>
      <w:r>
        <w:rPr>
          <w:rFonts w:hint="eastAsia"/>
        </w:rPr>
        <w:t>，特色鲜明、充满活力的新体系使渭南逐步成为“一带一路”产业聚集的桥头堡。截止2016年初，渭南已建成20个开发区重点工业园区，其中国家级高新区1个，省级园区6个。开发区工业园区标准厂房建成面积达到22万平方米，中小企业公共服务平台建成运营，40余户社会化服务机构入驻。全市入园企业累计达到1012户，已投产企业829户，吸纳社会就业人员18万人，占全市工业总产值六成以上，随着工业园区不断迈向高端，这里已经成为全市工业经济发展的重要载体。</w:t>
      </w:r>
    </w:p>
    <w:p>
      <w:pPr>
        <w:pStyle w:val="128"/>
      </w:pPr>
      <w:r>
        <w:rPr>
          <w:rFonts w:hint="eastAsia"/>
        </w:rPr>
        <w:t>根据《渭南市国民经济和社会发展第十三个五年规划纲要》及各园区相关规划，本规划提出以下产业布局方案：</w:t>
      </w:r>
      <w:bookmarkStart w:id="119" w:name="OLE_LINK155"/>
      <w:bookmarkStart w:id="120" w:name="OLE_LINK156"/>
      <w:r>
        <w:rPr>
          <w:rFonts w:hint="eastAsia"/>
        </w:rPr>
        <w:t>新能源汽车产业主要布局于渭南高新技术产业开发区及大荔县新能源汽车；</w:t>
      </w:r>
      <w:bookmarkStart w:id="121" w:name="OLE_LINK114"/>
      <w:r>
        <w:rPr>
          <w:rFonts w:hint="eastAsia"/>
        </w:rPr>
        <w:t>光伏、风电</w:t>
      </w:r>
      <w:bookmarkEnd w:id="121"/>
      <w:r>
        <w:rPr>
          <w:rFonts w:hint="eastAsia"/>
        </w:rPr>
        <w:t>等新能源上游设备制造产业主要布局于澄城县工业园区，光电、风电等发电项目主要</w:t>
      </w:r>
      <w:bookmarkStart w:id="122" w:name="OLE_LINK115"/>
      <w:r>
        <w:rPr>
          <w:rFonts w:hint="eastAsia"/>
        </w:rPr>
        <w:t>布局于渭北澄城、合阳、大荔三县，</w:t>
      </w:r>
      <w:bookmarkEnd w:id="122"/>
      <w:r>
        <w:rPr>
          <w:rFonts w:hint="eastAsia"/>
        </w:rPr>
        <w:t>地热开发项目依据资源分布情况布局，</w:t>
      </w:r>
      <w:bookmarkStart w:id="123" w:name="OLE_LINK117"/>
      <w:r>
        <w:rPr>
          <w:rFonts w:hint="eastAsia"/>
        </w:rPr>
        <w:t>生物质能开发项目</w:t>
      </w:r>
      <w:bookmarkEnd w:id="123"/>
      <w:r>
        <w:rPr>
          <w:rFonts w:hint="eastAsia"/>
        </w:rPr>
        <w:t>主要布局于大荔县、澄城县县城周边，结合农业园区或已有电厂布置；新材料产业主要布局于渭南高新技术产业开发区、卤阳湖现代产业综合开发区、蒲城高新技术开发区和</w:t>
      </w:r>
      <w:r>
        <w:t>富平、</w:t>
      </w:r>
      <w:r>
        <w:rPr>
          <w:rFonts w:hint="eastAsia"/>
        </w:rPr>
        <w:t>华州区。</w:t>
      </w:r>
      <w:bookmarkEnd w:id="119"/>
      <w:bookmarkEnd w:id="120"/>
    </w:p>
    <w:p>
      <w:pPr>
        <w:pStyle w:val="132"/>
        <w:numPr>
          <w:ilvl w:val="0"/>
          <w:numId w:val="17"/>
        </w:numPr>
      </w:pPr>
      <w:r>
        <w:rPr>
          <w:rFonts w:hint="eastAsia"/>
        </w:rPr>
        <w:t>重点</w:t>
      </w:r>
      <w:r>
        <w:t>产业园区布局</w:t>
      </w:r>
    </w:p>
    <w:tbl>
      <w:tblPr>
        <w:tblStyle w:val="46"/>
        <w:tblW w:w="86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4251"/>
        <w:gridCol w:w="1701"/>
        <w:gridCol w:w="11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55" w:type="dxa"/>
            <w:vAlign w:val="center"/>
          </w:tcPr>
          <w:p>
            <w:pPr>
              <w:pStyle w:val="36"/>
            </w:pPr>
            <w:r>
              <w:rPr>
                <w:rFonts w:hint="eastAsia"/>
              </w:rPr>
              <w:t>产业园区</w:t>
            </w:r>
          </w:p>
        </w:tc>
        <w:tc>
          <w:tcPr>
            <w:tcW w:w="4251" w:type="dxa"/>
            <w:vAlign w:val="center"/>
          </w:tcPr>
          <w:p>
            <w:pPr>
              <w:pStyle w:val="36"/>
            </w:pPr>
            <w:r>
              <w:rPr>
                <w:rFonts w:hint="eastAsia"/>
              </w:rPr>
              <w:t>发展重点</w:t>
            </w:r>
          </w:p>
        </w:tc>
        <w:tc>
          <w:tcPr>
            <w:tcW w:w="1701" w:type="dxa"/>
            <w:vAlign w:val="center"/>
          </w:tcPr>
          <w:p>
            <w:pPr>
              <w:pStyle w:val="36"/>
            </w:pPr>
            <w:r>
              <w:rPr>
                <w:rFonts w:hint="eastAsia"/>
              </w:rPr>
              <w:t>依托</w:t>
            </w:r>
            <w:r>
              <w:t>优势</w:t>
            </w:r>
          </w:p>
        </w:tc>
        <w:tc>
          <w:tcPr>
            <w:tcW w:w="1135" w:type="dxa"/>
            <w:vAlign w:val="center"/>
          </w:tcPr>
          <w:p>
            <w:pPr>
              <w:pStyle w:val="36"/>
            </w:pPr>
            <w:r>
              <w:rPr>
                <w:rFonts w:hint="eastAsia"/>
              </w:rPr>
              <w:t>发展类型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55" w:type="dxa"/>
            <w:vAlign w:val="center"/>
          </w:tcPr>
          <w:p>
            <w:pPr>
              <w:pStyle w:val="36"/>
            </w:pPr>
            <w:r>
              <w:rPr>
                <w:rFonts w:hint="eastAsia"/>
              </w:rPr>
              <w:t>富平高新技术产业园</w:t>
            </w:r>
          </w:p>
        </w:tc>
        <w:tc>
          <w:tcPr>
            <w:tcW w:w="4251" w:type="dxa"/>
            <w:vAlign w:val="center"/>
          </w:tcPr>
          <w:p>
            <w:pPr>
              <w:pStyle w:val="36"/>
            </w:pPr>
            <w:r>
              <w:t>重点发展航空铝材</w:t>
            </w:r>
            <w:r>
              <w:rPr>
                <w:rFonts w:hint="eastAsia"/>
              </w:rPr>
              <w:t>。</w:t>
            </w:r>
          </w:p>
          <w:p>
            <w:pPr>
              <w:pStyle w:val="36"/>
            </w:pPr>
            <w:r>
              <w:rPr>
                <w:rFonts w:hint="eastAsia"/>
              </w:rPr>
              <w:t>打造集航材研发、航材加工和航材检测的全产业链。</w:t>
            </w:r>
          </w:p>
        </w:tc>
        <w:tc>
          <w:tcPr>
            <w:tcW w:w="1701" w:type="dxa"/>
            <w:vAlign w:val="center"/>
          </w:tcPr>
          <w:p>
            <w:pPr>
              <w:pStyle w:val="36"/>
            </w:pPr>
            <w:r>
              <w:rPr>
                <w:rFonts w:hint="eastAsia"/>
              </w:rPr>
              <w:t>富阎一体化，</w:t>
            </w:r>
            <w:r>
              <w:t>阎良航空城，</w:t>
            </w:r>
            <w:r>
              <w:rPr>
                <w:rFonts w:hint="eastAsia"/>
              </w:rPr>
              <w:t>卤阳湖</w:t>
            </w:r>
            <w:r>
              <w:t>通用航空</w:t>
            </w:r>
            <w:r>
              <w:rPr>
                <w:rFonts w:hint="eastAsia"/>
              </w:rPr>
              <w:t>，</w:t>
            </w:r>
            <w:r>
              <w:t>澄城铝土矿资源</w:t>
            </w:r>
          </w:p>
        </w:tc>
        <w:tc>
          <w:tcPr>
            <w:tcW w:w="1135" w:type="dxa"/>
            <w:vAlign w:val="center"/>
          </w:tcPr>
          <w:p>
            <w:pPr>
              <w:pStyle w:val="36"/>
            </w:pPr>
            <w:r>
              <w:rPr>
                <w:rFonts w:hint="eastAsia"/>
              </w:rPr>
              <w:t>区域</w:t>
            </w:r>
            <w:r>
              <w:t>协作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55" w:type="dxa"/>
            <w:vAlign w:val="center"/>
          </w:tcPr>
          <w:p>
            <w:pPr>
              <w:pStyle w:val="36"/>
            </w:pPr>
            <w:r>
              <w:rPr>
                <w:rFonts w:hint="eastAsia"/>
              </w:rPr>
              <w:t>华县钼基新材料</w:t>
            </w:r>
            <w:r>
              <w:t>产业园</w:t>
            </w:r>
          </w:p>
        </w:tc>
        <w:tc>
          <w:tcPr>
            <w:tcW w:w="4251" w:type="dxa"/>
            <w:vAlign w:val="center"/>
          </w:tcPr>
          <w:p>
            <w:pPr>
              <w:pStyle w:val="36"/>
            </w:pPr>
            <w:r>
              <w:rPr>
                <w:rFonts w:hint="eastAsia"/>
              </w:rPr>
              <w:t>继续依靠优势特色资源，做大做强钼基新材料产业，促进钼产业由初级产品开采向精细产品和高附加值产品延伸。</w:t>
            </w:r>
          </w:p>
          <w:p>
            <w:pPr>
              <w:pStyle w:val="36"/>
            </w:pPr>
            <w:r>
              <w:rPr>
                <w:rFonts w:hint="eastAsia"/>
              </w:rPr>
              <w:t>重点发展高性能钼合金、钼烧结板、钼靶材、钼异型材、钼丝等高附加值产品，加快建设国家级钼及钼化工、钼合金产业聚集区，打造中国钼都。</w:t>
            </w:r>
          </w:p>
        </w:tc>
        <w:tc>
          <w:tcPr>
            <w:tcW w:w="1701" w:type="dxa"/>
            <w:vAlign w:val="center"/>
          </w:tcPr>
          <w:p>
            <w:pPr>
              <w:pStyle w:val="36"/>
            </w:pPr>
            <w:r>
              <w:rPr>
                <w:rFonts w:hint="eastAsia"/>
              </w:rPr>
              <w:t>金堆城</w:t>
            </w:r>
            <w:r>
              <w:t>钼储量资源优势突出，</w:t>
            </w:r>
            <w:r>
              <w:rPr>
                <w:rFonts w:hint="eastAsia"/>
              </w:rPr>
              <w:t>已经</w:t>
            </w:r>
            <w:r>
              <w:t>具备开采和初级加工能力</w:t>
            </w:r>
          </w:p>
        </w:tc>
        <w:tc>
          <w:tcPr>
            <w:tcW w:w="1135" w:type="dxa"/>
            <w:vAlign w:val="center"/>
          </w:tcPr>
          <w:p>
            <w:pPr>
              <w:pStyle w:val="36"/>
            </w:pPr>
            <w:r>
              <w:rPr>
                <w:rFonts w:hint="eastAsia"/>
              </w:rPr>
              <w:t>产业链</w:t>
            </w:r>
            <w:r>
              <w:t>延伸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55" w:type="dxa"/>
            <w:vAlign w:val="center"/>
          </w:tcPr>
          <w:p>
            <w:pPr>
              <w:pStyle w:val="36"/>
            </w:pPr>
            <w:r>
              <w:rPr>
                <w:rFonts w:hint="eastAsia"/>
              </w:rPr>
              <w:t>大荔</w:t>
            </w:r>
            <w:r>
              <w:t>新能源汽车</w:t>
            </w:r>
            <w:r>
              <w:rPr>
                <w:rFonts w:hint="eastAsia"/>
              </w:rPr>
              <w:t>产业</w:t>
            </w:r>
            <w:r>
              <w:t>园区</w:t>
            </w:r>
          </w:p>
        </w:tc>
        <w:tc>
          <w:tcPr>
            <w:tcW w:w="4251" w:type="dxa"/>
            <w:vAlign w:val="center"/>
          </w:tcPr>
          <w:p>
            <w:pPr>
              <w:pStyle w:val="36"/>
            </w:pPr>
            <w:r>
              <w:rPr>
                <w:rFonts w:hint="eastAsia"/>
              </w:rPr>
              <w:t>以电池</w:t>
            </w:r>
            <w:r>
              <w:t>为关键突破口，发展建立涵盖整车、动力电池、驱动电机及控制系统、充换电设备、动力电池回收的完整的新能源汽车产业链。</w:t>
            </w:r>
          </w:p>
        </w:tc>
        <w:tc>
          <w:tcPr>
            <w:tcW w:w="1701" w:type="dxa"/>
            <w:vAlign w:val="center"/>
          </w:tcPr>
          <w:p>
            <w:pPr>
              <w:pStyle w:val="36"/>
            </w:pPr>
            <w:r>
              <w:rPr>
                <w:rFonts w:hint="eastAsia"/>
              </w:rPr>
              <w:t>西安</w:t>
            </w:r>
            <w:r>
              <w:t>产业外溢，渭南成本优势</w:t>
            </w:r>
          </w:p>
        </w:tc>
        <w:tc>
          <w:tcPr>
            <w:tcW w:w="1135" w:type="dxa"/>
            <w:vAlign w:val="center"/>
          </w:tcPr>
          <w:p>
            <w:pPr>
              <w:pStyle w:val="36"/>
            </w:pPr>
            <w:r>
              <w:rPr>
                <w:rFonts w:hint="eastAsia"/>
              </w:rPr>
              <w:t>新兴产业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55" w:type="dxa"/>
            <w:vMerge w:val="restart"/>
            <w:vAlign w:val="center"/>
          </w:tcPr>
          <w:p>
            <w:pPr>
              <w:pStyle w:val="36"/>
            </w:pPr>
            <w:r>
              <w:rPr>
                <w:rFonts w:hint="eastAsia"/>
              </w:rPr>
              <w:t>渭南高新区</w:t>
            </w:r>
            <w:r>
              <w:t>新能源产业</w:t>
            </w:r>
            <w:r>
              <w:rPr>
                <w:rFonts w:hint="eastAsia"/>
              </w:rPr>
              <w:t>发展</w:t>
            </w:r>
            <w:r>
              <w:t>示范园区</w:t>
            </w:r>
          </w:p>
        </w:tc>
        <w:tc>
          <w:tcPr>
            <w:tcW w:w="4251" w:type="dxa"/>
            <w:vAlign w:val="center"/>
          </w:tcPr>
          <w:p>
            <w:pPr>
              <w:pStyle w:val="36"/>
            </w:pPr>
            <w:r>
              <w:rPr>
                <w:rFonts w:hint="eastAsia"/>
              </w:rPr>
              <w:t>以</w:t>
            </w:r>
            <w:r>
              <w:t>市场应用为导向，打造集研发、制造、推广应用为一体的全产业链</w:t>
            </w:r>
            <w:r>
              <w:rPr>
                <w:rFonts w:hint="eastAsia"/>
              </w:rPr>
              <w:t>。</w:t>
            </w:r>
          </w:p>
          <w:p>
            <w:pPr>
              <w:pStyle w:val="36"/>
            </w:pPr>
            <w:r>
              <w:rPr>
                <w:rFonts w:hint="eastAsia"/>
              </w:rPr>
              <w:t>重点</w:t>
            </w:r>
            <w:r>
              <w:t>发展储能技术和</w:t>
            </w:r>
            <w:r>
              <w:rPr>
                <w:rFonts w:hint="eastAsia"/>
              </w:rPr>
              <w:t>新型电池</w:t>
            </w:r>
            <w:r>
              <w:t>、组件技术，</w:t>
            </w:r>
            <w:r>
              <w:rPr>
                <w:rFonts w:hint="eastAsia"/>
              </w:rPr>
              <w:t>适当</w:t>
            </w:r>
            <w:r>
              <w:t>引进晶硅电池、逆变器等电力系统</w:t>
            </w:r>
            <w:r>
              <w:rPr>
                <w:rFonts w:hint="eastAsia"/>
              </w:rPr>
              <w:t>，</w:t>
            </w:r>
            <w:r>
              <w:t>逐步发展太阳能光伏全产业链。</w:t>
            </w:r>
          </w:p>
          <w:p>
            <w:pPr>
              <w:pStyle w:val="36"/>
            </w:pPr>
            <w:r>
              <w:rPr>
                <w:rFonts w:hint="eastAsia"/>
              </w:rPr>
              <w:t>发展</w:t>
            </w:r>
            <w:r>
              <w:t>铝合金支架</w:t>
            </w:r>
            <w:r>
              <w:rPr>
                <w:rFonts w:hint="eastAsia"/>
              </w:rPr>
              <w:t>、</w:t>
            </w:r>
            <w:r>
              <w:t>边框，延长澄城铝</w:t>
            </w:r>
            <w:r>
              <w:rPr>
                <w:rFonts w:hint="eastAsia"/>
              </w:rPr>
              <w:t>产业链</w:t>
            </w:r>
            <w:r>
              <w:t>。</w:t>
            </w:r>
          </w:p>
        </w:tc>
        <w:tc>
          <w:tcPr>
            <w:tcW w:w="1701" w:type="dxa"/>
            <w:vAlign w:val="center"/>
          </w:tcPr>
          <w:p>
            <w:pPr>
              <w:pStyle w:val="36"/>
            </w:pPr>
            <w:r>
              <w:rPr>
                <w:rFonts w:hint="eastAsia"/>
              </w:rPr>
              <w:t>政策优势</w:t>
            </w:r>
          </w:p>
          <w:p>
            <w:pPr>
              <w:pStyle w:val="36"/>
            </w:pPr>
            <w:r>
              <w:rPr>
                <w:rFonts w:hint="eastAsia"/>
              </w:rPr>
              <w:t>资源条件</w:t>
            </w:r>
          </w:p>
        </w:tc>
        <w:tc>
          <w:tcPr>
            <w:tcW w:w="1135" w:type="dxa"/>
            <w:vAlign w:val="center"/>
          </w:tcPr>
          <w:p>
            <w:pPr>
              <w:pStyle w:val="36"/>
            </w:pPr>
            <w:r>
              <w:rPr>
                <w:rFonts w:hint="eastAsia"/>
              </w:rPr>
              <w:t>新兴产业</w:t>
            </w:r>
          </w:p>
          <w:p>
            <w:pPr>
              <w:pStyle w:val="36"/>
            </w:pPr>
            <w:r>
              <w:rPr>
                <w:rFonts w:hint="eastAsia"/>
              </w:rPr>
              <w:t>产业链</w:t>
            </w:r>
            <w:r>
              <w:t>延伸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55" w:type="dxa"/>
            <w:vMerge w:val="continue"/>
            <w:vAlign w:val="center"/>
          </w:tcPr>
          <w:p>
            <w:pPr>
              <w:pStyle w:val="36"/>
            </w:pPr>
          </w:p>
        </w:tc>
        <w:tc>
          <w:tcPr>
            <w:tcW w:w="4251" w:type="dxa"/>
            <w:vAlign w:val="center"/>
          </w:tcPr>
          <w:p>
            <w:pPr>
              <w:pStyle w:val="36"/>
            </w:pPr>
            <w:r>
              <w:rPr>
                <w:rFonts w:hint="eastAsia"/>
              </w:rPr>
              <w:t>以技术研发为主导，集材料研发、工艺设计、设备制造和产业应用四位一体的全产业链。</w:t>
            </w:r>
          </w:p>
          <w:p>
            <w:pPr>
              <w:pStyle w:val="36"/>
            </w:pPr>
            <w:r>
              <w:rPr>
                <w:rFonts w:hint="eastAsia"/>
              </w:rPr>
              <w:t>重点发展绿色建材、增材制造、3D打印专用金属材料、智能材料、合成生物材料、电子信息材料、复合材料</w:t>
            </w:r>
            <w:r>
              <w:t>和无机非金属材料</w:t>
            </w:r>
            <w:r>
              <w:rPr>
                <w:rFonts w:hint="eastAsia"/>
              </w:rPr>
              <w:t>等</w:t>
            </w:r>
            <w:r>
              <w:t>特色新材料的研发和市场应用</w:t>
            </w:r>
            <w:r>
              <w:rPr>
                <w:rFonts w:hint="eastAsia"/>
              </w:rPr>
              <w:t>。</w:t>
            </w:r>
          </w:p>
        </w:tc>
        <w:tc>
          <w:tcPr>
            <w:tcW w:w="1701" w:type="dxa"/>
            <w:vAlign w:val="center"/>
          </w:tcPr>
          <w:p>
            <w:pPr>
              <w:pStyle w:val="36"/>
            </w:pPr>
            <w:r>
              <w:rPr>
                <w:rFonts w:hint="eastAsia"/>
              </w:rPr>
              <w:t>渭南通用航空</w:t>
            </w:r>
            <w:r>
              <w:t>、食品医药、</w:t>
            </w:r>
            <w:r>
              <w:rPr>
                <w:rFonts w:hint="eastAsia"/>
              </w:rPr>
              <w:t>新能源</w:t>
            </w:r>
            <w:r>
              <w:t>、能源化工等产业的发展需求</w:t>
            </w:r>
          </w:p>
        </w:tc>
        <w:tc>
          <w:tcPr>
            <w:tcW w:w="1135" w:type="dxa"/>
            <w:vAlign w:val="center"/>
          </w:tcPr>
          <w:p>
            <w:pPr>
              <w:pStyle w:val="36"/>
            </w:pPr>
            <w:r>
              <w:rPr>
                <w:rFonts w:hint="eastAsia"/>
              </w:rPr>
              <w:t>产业链延伸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55" w:type="dxa"/>
            <w:vMerge w:val="continue"/>
            <w:vAlign w:val="center"/>
          </w:tcPr>
          <w:p>
            <w:pPr>
              <w:pStyle w:val="36"/>
            </w:pPr>
          </w:p>
        </w:tc>
        <w:tc>
          <w:tcPr>
            <w:tcW w:w="4251" w:type="dxa"/>
            <w:vAlign w:val="center"/>
          </w:tcPr>
          <w:p>
            <w:pPr>
              <w:pStyle w:val="36"/>
            </w:pPr>
            <w:r>
              <w:t>打造高端新能源汽车研发生产制造基地</w:t>
            </w:r>
            <w:r>
              <w:rPr>
                <w:rFonts w:hint="eastAsia"/>
              </w:rPr>
              <w:t>，以“电池</w:t>
            </w:r>
            <w:r>
              <w:t>、电机、电控</w:t>
            </w:r>
            <w:r>
              <w:rPr>
                <w:rFonts w:hint="eastAsia"/>
              </w:rPr>
              <w:t>”关键</w:t>
            </w:r>
            <w:r>
              <w:t>零部件</w:t>
            </w:r>
            <w:r>
              <w:rPr>
                <w:rFonts w:hint="eastAsia"/>
              </w:rPr>
              <w:t>为</w:t>
            </w:r>
            <w:r>
              <w:t>突破口，以纯电动汽车和插电式混合动力汽车为主攻方向，培育和发展新能源汽车</w:t>
            </w:r>
            <w:r>
              <w:rPr>
                <w:rFonts w:hint="eastAsia"/>
              </w:rPr>
              <w:t>，</w:t>
            </w:r>
            <w:r>
              <w:t>建立涵盖整车、动力电池、驱动电机及控制系统、充换电设备、动力电池回收的完整的新能源汽车产业链。</w:t>
            </w:r>
          </w:p>
        </w:tc>
        <w:tc>
          <w:tcPr>
            <w:tcW w:w="1701" w:type="dxa"/>
            <w:vAlign w:val="center"/>
          </w:tcPr>
          <w:p>
            <w:pPr>
              <w:pStyle w:val="36"/>
            </w:pPr>
            <w:r>
              <w:rPr>
                <w:rFonts w:hint="eastAsia"/>
              </w:rPr>
              <w:t>西安</w:t>
            </w:r>
            <w:r>
              <w:t>产业外溢，渭南成本优势</w:t>
            </w:r>
          </w:p>
        </w:tc>
        <w:tc>
          <w:tcPr>
            <w:tcW w:w="1135" w:type="dxa"/>
            <w:vAlign w:val="center"/>
          </w:tcPr>
          <w:p>
            <w:pPr>
              <w:pStyle w:val="36"/>
            </w:pPr>
            <w:r>
              <w:rPr>
                <w:rFonts w:hint="eastAsia"/>
              </w:rPr>
              <w:t>新兴产业</w:t>
            </w:r>
          </w:p>
        </w:tc>
      </w:tr>
    </w:tbl>
    <w:p>
      <w:pPr>
        <w:pStyle w:val="128"/>
      </w:pPr>
    </w:p>
    <w:p>
      <w:pPr>
        <w:pStyle w:val="132"/>
        <w:numPr>
          <w:ilvl w:val="0"/>
          <w:numId w:val="17"/>
        </w:numPr>
        <w:adjustRightInd w:val="0"/>
        <w:snapToGrid w:val="0"/>
      </w:pPr>
      <w:r>
        <w:rPr>
          <w:rFonts w:hint="eastAsia"/>
        </w:rPr>
        <w:t>“十三五”期间</w:t>
      </w:r>
      <w:r>
        <w:t>新增</w:t>
      </w:r>
      <w:r>
        <w:rPr>
          <w:rFonts w:hint="eastAsia"/>
        </w:rPr>
        <w:t>电源点</w:t>
      </w:r>
      <w:r>
        <w:t>项目布局</w:t>
      </w:r>
    </w:p>
    <w:tbl>
      <w:tblPr>
        <w:tblStyle w:val="46"/>
        <w:tblW w:w="804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6"/>
        <w:gridCol w:w="1290"/>
        <w:gridCol w:w="1367"/>
        <w:gridCol w:w="1675"/>
        <w:gridCol w:w="3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886" w:type="dxa"/>
            <w:gridSpan w:val="2"/>
            <w:vAlign w:val="center"/>
          </w:tcPr>
          <w:p>
            <w:pPr>
              <w:pStyle w:val="36"/>
            </w:pPr>
            <w:r>
              <w:rPr>
                <w:rFonts w:hint="eastAsia"/>
              </w:rPr>
              <w:t>电源点类型</w:t>
            </w:r>
          </w:p>
        </w:tc>
        <w:tc>
          <w:tcPr>
            <w:tcW w:w="1367" w:type="dxa"/>
            <w:vAlign w:val="center"/>
          </w:tcPr>
          <w:p>
            <w:pPr>
              <w:pStyle w:val="36"/>
            </w:pPr>
            <w:r>
              <w:rPr>
                <w:rFonts w:hint="eastAsia"/>
              </w:rPr>
              <w:t>装机规模（MW）</w:t>
            </w:r>
          </w:p>
        </w:tc>
        <w:tc>
          <w:tcPr>
            <w:tcW w:w="1675" w:type="dxa"/>
            <w:vAlign w:val="center"/>
          </w:tcPr>
          <w:p>
            <w:pPr>
              <w:pStyle w:val="36"/>
            </w:pPr>
            <w:r>
              <w:rPr>
                <w:rFonts w:hint="eastAsia"/>
              </w:rPr>
              <w:t>年发电量</w:t>
            </w:r>
          </w:p>
          <w:p>
            <w:pPr>
              <w:pStyle w:val="36"/>
            </w:pPr>
            <w:r>
              <w:rPr>
                <w:rFonts w:hint="eastAsia"/>
              </w:rPr>
              <w:t>（亿</w:t>
            </w:r>
            <w:r>
              <w:t>kW·h</w:t>
            </w:r>
            <w:r>
              <w:rPr>
                <w:rFonts w:hint="eastAsia"/>
              </w:rPr>
              <w:t>）</w:t>
            </w:r>
          </w:p>
        </w:tc>
        <w:tc>
          <w:tcPr>
            <w:tcW w:w="3118" w:type="dxa"/>
            <w:vAlign w:val="center"/>
          </w:tcPr>
          <w:p>
            <w:pPr>
              <w:pStyle w:val="36"/>
            </w:pPr>
            <w:r>
              <w:rPr>
                <w:rFonts w:hint="eastAsia"/>
              </w:rPr>
              <w:t>项目布局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886" w:type="dxa"/>
            <w:gridSpan w:val="2"/>
            <w:vAlign w:val="center"/>
          </w:tcPr>
          <w:p>
            <w:pPr>
              <w:pStyle w:val="36"/>
            </w:pPr>
            <w:r>
              <w:rPr>
                <w:rFonts w:hint="eastAsia"/>
              </w:rPr>
              <w:t>光伏</w:t>
            </w:r>
            <w:r>
              <w:t>发电</w:t>
            </w:r>
          </w:p>
        </w:tc>
        <w:tc>
          <w:tcPr>
            <w:tcW w:w="1367" w:type="dxa"/>
            <w:vAlign w:val="center"/>
          </w:tcPr>
          <w:p>
            <w:pPr>
              <w:pStyle w:val="36"/>
            </w:pPr>
            <w:r>
              <w:rPr>
                <w:rFonts w:hint="eastAsia"/>
              </w:rPr>
              <w:t>2500</w:t>
            </w:r>
          </w:p>
        </w:tc>
        <w:tc>
          <w:tcPr>
            <w:tcW w:w="1675" w:type="dxa"/>
            <w:vAlign w:val="center"/>
          </w:tcPr>
          <w:p>
            <w:pPr>
              <w:pStyle w:val="36"/>
            </w:pPr>
            <w:r>
              <w:rPr>
                <w:rFonts w:hint="eastAsia"/>
              </w:rPr>
              <w:t>26.25</w:t>
            </w:r>
          </w:p>
        </w:tc>
        <w:tc>
          <w:tcPr>
            <w:tcW w:w="3118" w:type="dxa"/>
            <w:vAlign w:val="center"/>
          </w:tcPr>
          <w:p>
            <w:pPr>
              <w:pStyle w:val="3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96" w:type="dxa"/>
            <w:vMerge w:val="restart"/>
            <w:vAlign w:val="center"/>
          </w:tcPr>
          <w:p>
            <w:pPr>
              <w:pStyle w:val="36"/>
            </w:pPr>
            <w:r>
              <w:rPr>
                <w:rFonts w:hint="eastAsia"/>
              </w:rPr>
              <w:t>其中</w:t>
            </w:r>
          </w:p>
        </w:tc>
        <w:tc>
          <w:tcPr>
            <w:tcW w:w="1290" w:type="dxa"/>
            <w:vAlign w:val="center"/>
          </w:tcPr>
          <w:p>
            <w:pPr>
              <w:pStyle w:val="36"/>
            </w:pPr>
            <w:r>
              <w:rPr>
                <w:rFonts w:hint="eastAsia"/>
              </w:rPr>
              <w:t>领跑者</w:t>
            </w:r>
            <w:r>
              <w:t>项目</w:t>
            </w:r>
          </w:p>
        </w:tc>
        <w:tc>
          <w:tcPr>
            <w:tcW w:w="1367" w:type="dxa"/>
            <w:vAlign w:val="center"/>
          </w:tcPr>
          <w:p>
            <w:pPr>
              <w:pStyle w:val="36"/>
            </w:pPr>
            <w:r>
              <w:rPr>
                <w:rFonts w:hint="eastAsia"/>
              </w:rPr>
              <w:t>2000</w:t>
            </w:r>
          </w:p>
        </w:tc>
        <w:tc>
          <w:tcPr>
            <w:tcW w:w="1675" w:type="dxa"/>
            <w:vAlign w:val="center"/>
          </w:tcPr>
          <w:p>
            <w:pPr>
              <w:pStyle w:val="36"/>
            </w:pPr>
            <w:r>
              <w:rPr>
                <w:rFonts w:hint="eastAsia"/>
              </w:rPr>
              <w:t>21</w:t>
            </w:r>
          </w:p>
        </w:tc>
        <w:tc>
          <w:tcPr>
            <w:tcW w:w="3118" w:type="dxa"/>
            <w:vAlign w:val="center"/>
          </w:tcPr>
          <w:p>
            <w:pPr>
              <w:pStyle w:val="36"/>
            </w:pPr>
            <w:r>
              <w:rPr>
                <w:rFonts w:hint="eastAsia"/>
              </w:rPr>
              <w:t>合阳县、</w:t>
            </w:r>
            <w:r>
              <w:t>白水县、澄城县、大荔县</w:t>
            </w:r>
            <w:r>
              <w:rPr>
                <w:rFonts w:hint="eastAsia"/>
              </w:rPr>
              <w:t>、</w:t>
            </w:r>
            <w:r>
              <w:t>富平县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96" w:type="dxa"/>
            <w:vMerge w:val="continue"/>
            <w:vAlign w:val="center"/>
          </w:tcPr>
          <w:p>
            <w:pPr>
              <w:pStyle w:val="36"/>
            </w:pPr>
          </w:p>
        </w:tc>
        <w:tc>
          <w:tcPr>
            <w:tcW w:w="1290" w:type="dxa"/>
            <w:vAlign w:val="center"/>
          </w:tcPr>
          <w:p>
            <w:pPr>
              <w:pStyle w:val="36"/>
            </w:pPr>
            <w:r>
              <w:rPr>
                <w:rFonts w:hint="eastAsia"/>
              </w:rPr>
              <w:t>其他</w:t>
            </w:r>
            <w:r>
              <w:t>项目</w:t>
            </w:r>
          </w:p>
        </w:tc>
        <w:tc>
          <w:tcPr>
            <w:tcW w:w="1367" w:type="dxa"/>
            <w:vAlign w:val="center"/>
          </w:tcPr>
          <w:p>
            <w:pPr>
              <w:pStyle w:val="36"/>
            </w:pPr>
            <w:r>
              <w:rPr>
                <w:rFonts w:hint="eastAsia"/>
              </w:rPr>
              <w:t>500</w:t>
            </w:r>
          </w:p>
        </w:tc>
        <w:tc>
          <w:tcPr>
            <w:tcW w:w="1675" w:type="dxa"/>
            <w:vAlign w:val="center"/>
          </w:tcPr>
          <w:p>
            <w:pPr>
              <w:pStyle w:val="36"/>
            </w:pPr>
            <w:r>
              <w:rPr>
                <w:rFonts w:hint="eastAsia"/>
              </w:rPr>
              <w:t>5.25</w:t>
            </w:r>
          </w:p>
        </w:tc>
        <w:tc>
          <w:tcPr>
            <w:tcW w:w="3118" w:type="dxa"/>
            <w:vAlign w:val="center"/>
          </w:tcPr>
          <w:p>
            <w:pPr>
              <w:pStyle w:val="36"/>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886" w:type="dxa"/>
            <w:gridSpan w:val="2"/>
            <w:vAlign w:val="center"/>
          </w:tcPr>
          <w:p>
            <w:pPr>
              <w:pStyle w:val="36"/>
            </w:pPr>
            <w:r>
              <w:rPr>
                <w:rFonts w:hint="eastAsia"/>
              </w:rPr>
              <w:t>风力发电</w:t>
            </w:r>
          </w:p>
        </w:tc>
        <w:tc>
          <w:tcPr>
            <w:tcW w:w="1367" w:type="dxa"/>
            <w:vAlign w:val="center"/>
          </w:tcPr>
          <w:p>
            <w:pPr>
              <w:pStyle w:val="36"/>
            </w:pPr>
            <w:r>
              <w:t>1030</w:t>
            </w:r>
          </w:p>
        </w:tc>
        <w:tc>
          <w:tcPr>
            <w:tcW w:w="1675" w:type="dxa"/>
            <w:vAlign w:val="center"/>
          </w:tcPr>
          <w:p>
            <w:pPr>
              <w:pStyle w:val="36"/>
            </w:pPr>
            <w:r>
              <w:rPr>
                <w:rFonts w:hint="eastAsia"/>
              </w:rPr>
              <w:t>18.54</w:t>
            </w:r>
          </w:p>
        </w:tc>
        <w:tc>
          <w:tcPr>
            <w:tcW w:w="3118" w:type="dxa"/>
            <w:vAlign w:val="center"/>
          </w:tcPr>
          <w:p>
            <w:pPr>
              <w:pStyle w:val="36"/>
            </w:pPr>
            <w:r>
              <w:rPr>
                <w:rFonts w:hint="eastAsia"/>
              </w:rPr>
              <w:t>富平、白水、</w:t>
            </w:r>
            <w:r>
              <w:t>澄城、合阳、大荔、潼关、韩城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886" w:type="dxa"/>
            <w:gridSpan w:val="2"/>
            <w:vAlign w:val="center"/>
          </w:tcPr>
          <w:p>
            <w:pPr>
              <w:pStyle w:val="36"/>
            </w:pPr>
            <w:r>
              <w:rPr>
                <w:rFonts w:hint="eastAsia"/>
              </w:rPr>
              <w:t>生物质发电</w:t>
            </w:r>
          </w:p>
        </w:tc>
        <w:tc>
          <w:tcPr>
            <w:tcW w:w="1367" w:type="dxa"/>
            <w:vAlign w:val="center"/>
          </w:tcPr>
          <w:p>
            <w:pPr>
              <w:pStyle w:val="36"/>
            </w:pPr>
            <w:r>
              <w:t>150</w:t>
            </w:r>
          </w:p>
        </w:tc>
        <w:tc>
          <w:tcPr>
            <w:tcW w:w="1675" w:type="dxa"/>
            <w:vAlign w:val="center"/>
          </w:tcPr>
          <w:p>
            <w:pPr>
              <w:pStyle w:val="36"/>
            </w:pPr>
            <w:r>
              <w:t>1.08</w:t>
            </w:r>
          </w:p>
        </w:tc>
        <w:tc>
          <w:tcPr>
            <w:tcW w:w="3118" w:type="dxa"/>
            <w:vAlign w:val="center"/>
          </w:tcPr>
          <w:p>
            <w:pPr>
              <w:pStyle w:val="3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96" w:type="dxa"/>
            <w:vMerge w:val="restart"/>
            <w:vAlign w:val="center"/>
          </w:tcPr>
          <w:p>
            <w:pPr>
              <w:pStyle w:val="36"/>
            </w:pPr>
            <w:r>
              <w:rPr>
                <w:rFonts w:hint="eastAsia"/>
              </w:rPr>
              <w:t>其中</w:t>
            </w:r>
          </w:p>
        </w:tc>
        <w:tc>
          <w:tcPr>
            <w:tcW w:w="1290" w:type="dxa"/>
            <w:vAlign w:val="center"/>
          </w:tcPr>
          <w:p>
            <w:pPr>
              <w:pStyle w:val="36"/>
            </w:pPr>
            <w:r>
              <w:rPr>
                <w:rFonts w:hint="eastAsia"/>
              </w:rPr>
              <w:t>生物质直燃发电</w:t>
            </w:r>
          </w:p>
        </w:tc>
        <w:tc>
          <w:tcPr>
            <w:tcW w:w="1367" w:type="dxa"/>
            <w:vAlign w:val="center"/>
          </w:tcPr>
          <w:p>
            <w:pPr>
              <w:pStyle w:val="36"/>
            </w:pPr>
            <w:r>
              <w:t>90</w:t>
            </w:r>
          </w:p>
        </w:tc>
        <w:tc>
          <w:tcPr>
            <w:tcW w:w="1675" w:type="dxa"/>
            <w:vAlign w:val="center"/>
          </w:tcPr>
          <w:p>
            <w:pPr>
              <w:pStyle w:val="36"/>
            </w:pPr>
            <w:r>
              <w:t>0.65</w:t>
            </w:r>
          </w:p>
        </w:tc>
        <w:tc>
          <w:tcPr>
            <w:tcW w:w="3118" w:type="dxa"/>
            <w:vAlign w:val="center"/>
          </w:tcPr>
          <w:p>
            <w:pPr>
              <w:pStyle w:val="36"/>
            </w:pPr>
            <w:r>
              <w:rPr>
                <w:rFonts w:hint="eastAsia"/>
              </w:rPr>
              <w:t>渭南市</w:t>
            </w:r>
            <w:r>
              <w:t>、大荔县、澄城县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96" w:type="dxa"/>
            <w:vMerge w:val="continue"/>
            <w:vAlign w:val="center"/>
          </w:tcPr>
          <w:p>
            <w:pPr>
              <w:pStyle w:val="36"/>
            </w:pPr>
          </w:p>
        </w:tc>
        <w:tc>
          <w:tcPr>
            <w:tcW w:w="1290" w:type="dxa"/>
            <w:vAlign w:val="center"/>
          </w:tcPr>
          <w:p>
            <w:pPr>
              <w:pStyle w:val="36"/>
            </w:pPr>
            <w:r>
              <w:rPr>
                <w:rFonts w:hint="eastAsia"/>
              </w:rPr>
              <w:t>生物质制气发电</w:t>
            </w:r>
          </w:p>
        </w:tc>
        <w:tc>
          <w:tcPr>
            <w:tcW w:w="1367" w:type="dxa"/>
            <w:vAlign w:val="center"/>
          </w:tcPr>
          <w:p>
            <w:pPr>
              <w:pStyle w:val="36"/>
            </w:pPr>
            <w:r>
              <w:rPr>
                <w:rFonts w:hint="eastAsia"/>
              </w:rPr>
              <w:t>60</w:t>
            </w:r>
          </w:p>
        </w:tc>
        <w:tc>
          <w:tcPr>
            <w:tcW w:w="1675" w:type="dxa"/>
            <w:vAlign w:val="center"/>
          </w:tcPr>
          <w:p>
            <w:pPr>
              <w:pStyle w:val="36"/>
            </w:pPr>
            <w:r>
              <w:t>0.43</w:t>
            </w:r>
          </w:p>
        </w:tc>
        <w:tc>
          <w:tcPr>
            <w:tcW w:w="3118" w:type="dxa"/>
            <w:vAlign w:val="center"/>
          </w:tcPr>
          <w:p>
            <w:pPr>
              <w:pStyle w:val="36"/>
            </w:pPr>
            <w:r>
              <w:t>富平县</w:t>
            </w:r>
            <w:r>
              <w:rPr>
                <w:rFonts w:hint="eastAsia"/>
              </w:rPr>
              <w:t>、</w:t>
            </w:r>
            <w:r>
              <w:t>华阴</w:t>
            </w:r>
            <w:r>
              <w:rPr>
                <w:rFonts w:hint="eastAsia"/>
              </w:rPr>
              <w:t>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886" w:type="dxa"/>
            <w:gridSpan w:val="2"/>
            <w:vAlign w:val="center"/>
          </w:tcPr>
          <w:p>
            <w:pPr>
              <w:pStyle w:val="36"/>
            </w:pPr>
            <w:r>
              <w:rPr>
                <w:rFonts w:hint="eastAsia"/>
              </w:rPr>
              <w:t>合计</w:t>
            </w:r>
          </w:p>
        </w:tc>
        <w:tc>
          <w:tcPr>
            <w:tcW w:w="1367" w:type="dxa"/>
            <w:vAlign w:val="center"/>
          </w:tcPr>
          <w:p>
            <w:pPr>
              <w:pStyle w:val="36"/>
            </w:pPr>
            <w:r>
              <w:t>3680</w:t>
            </w:r>
          </w:p>
        </w:tc>
        <w:tc>
          <w:tcPr>
            <w:tcW w:w="1675" w:type="dxa"/>
            <w:vAlign w:val="center"/>
          </w:tcPr>
          <w:p>
            <w:pPr>
              <w:pStyle w:val="36"/>
            </w:pPr>
            <w:r>
              <w:t>45.87</w:t>
            </w:r>
          </w:p>
        </w:tc>
        <w:tc>
          <w:tcPr>
            <w:tcW w:w="3118" w:type="dxa"/>
            <w:vAlign w:val="center"/>
          </w:tcPr>
          <w:p>
            <w:pPr>
              <w:pStyle w:val="36"/>
            </w:pPr>
          </w:p>
        </w:tc>
      </w:tr>
    </w:tbl>
    <w:p>
      <w:pPr>
        <w:pStyle w:val="128"/>
      </w:pPr>
    </w:p>
    <w:p>
      <w:pPr>
        <w:pStyle w:val="128"/>
      </w:pPr>
      <w:r>
        <w:rPr>
          <w:rFonts w:hint="eastAsia"/>
        </w:rPr>
        <w:t>（1）光伏</w:t>
      </w:r>
      <w:r>
        <w:t>发电项目布局</w:t>
      </w:r>
    </w:p>
    <w:p>
      <w:pPr>
        <w:pStyle w:val="128"/>
      </w:pPr>
      <w:r>
        <w:rPr>
          <w:rFonts w:hint="eastAsia"/>
        </w:rPr>
        <w:t>渭南市</w:t>
      </w:r>
      <w:r>
        <w:t>目前已建并网光伏发电项目</w:t>
      </w:r>
      <w:r>
        <w:rPr>
          <w:rFonts w:hint="eastAsia"/>
        </w:rPr>
        <w:t>210MW，分布在</w:t>
      </w:r>
      <w:r>
        <w:t>合阳县、澄城县</w:t>
      </w:r>
      <w:r>
        <w:rPr>
          <w:rFonts w:hint="eastAsia"/>
        </w:rPr>
        <w:t>和</w:t>
      </w:r>
      <w:r>
        <w:t>蒲城县，</w:t>
      </w:r>
      <w:r>
        <w:rPr>
          <w:rFonts w:hint="eastAsia"/>
        </w:rPr>
        <w:t>为</w:t>
      </w:r>
      <w:r>
        <w:t>集中式并网光伏电站。</w:t>
      </w:r>
      <w:r>
        <w:rPr>
          <w:rFonts w:hint="eastAsia"/>
        </w:rPr>
        <w:t>规划“十三五”期间</w:t>
      </w:r>
      <w:r>
        <w:t>新增光伏发电装机规模</w:t>
      </w:r>
      <w:r>
        <w:rPr>
          <w:rFonts w:hint="eastAsia"/>
        </w:rPr>
        <w:t>2500MW，其中</w:t>
      </w:r>
      <w:r>
        <w:t>领跑者基地初步</w:t>
      </w:r>
      <w:r>
        <w:rPr>
          <w:rFonts w:hint="eastAsia"/>
        </w:rPr>
        <w:t>规划</w:t>
      </w:r>
      <w:r>
        <w:t>规模为192</w:t>
      </w:r>
      <w:r>
        <w:rPr>
          <w:rFonts w:hint="eastAsia"/>
        </w:rPr>
        <w:t>0MW，</w:t>
      </w:r>
      <w:r>
        <w:t>主要分布于合阳县、白水县、澄城县</w:t>
      </w:r>
      <w:r>
        <w:rPr>
          <w:rFonts w:hint="eastAsia"/>
        </w:rPr>
        <w:t>、</w:t>
      </w:r>
      <w:r>
        <w:t>大荔县</w:t>
      </w:r>
      <w:r>
        <w:rPr>
          <w:rFonts w:hint="eastAsia"/>
        </w:rPr>
        <w:t>和</w:t>
      </w:r>
      <w:r>
        <w:t>富平县</w:t>
      </w:r>
      <w:r>
        <w:rPr>
          <w:rFonts w:hint="eastAsia"/>
        </w:rPr>
        <w:t>；</w:t>
      </w:r>
      <w:r>
        <w:t>其他项目（</w:t>
      </w:r>
      <w:r>
        <w:rPr>
          <w:rFonts w:hint="eastAsia"/>
        </w:rPr>
        <w:t>主要</w:t>
      </w:r>
      <w:r>
        <w:t>包括普通光伏电站、分布式、扶贫等）</w:t>
      </w:r>
      <w:r>
        <w:rPr>
          <w:rFonts w:hint="eastAsia"/>
        </w:rPr>
        <w:t>初步</w:t>
      </w:r>
      <w:r>
        <w:t>规划总规模</w:t>
      </w:r>
      <w:r>
        <w:rPr>
          <w:rFonts w:hint="eastAsia"/>
        </w:rPr>
        <w:t>500MW。</w:t>
      </w:r>
    </w:p>
    <w:p>
      <w:pPr>
        <w:pStyle w:val="129"/>
      </w:pPr>
      <w:r>
        <w:drawing>
          <wp:inline distT="0" distB="0" distL="0" distR="0">
            <wp:extent cx="4605655" cy="3683000"/>
            <wp:effectExtent l="0" t="0" r="0" b="0"/>
            <wp:docPr id="22" name="图片 22" descr="E:\20160802 渭南市新能源新材料产业规划\07 渭南黄土旱塬领跑者\渭南市区域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E:\20160802 渭南市新能源新材料产业规划\07 渭南黄土旱塬领跑者\渭南市区域图.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4613276" cy="3689575"/>
                    </a:xfrm>
                    <a:prstGeom prst="rect">
                      <a:avLst/>
                    </a:prstGeom>
                    <a:noFill/>
                    <a:ln>
                      <a:noFill/>
                    </a:ln>
                  </pic:spPr>
                </pic:pic>
              </a:graphicData>
            </a:graphic>
          </wp:inline>
        </w:drawing>
      </w:r>
    </w:p>
    <w:p>
      <w:pPr>
        <w:pStyle w:val="137"/>
        <w:numPr>
          <w:ilvl w:val="0"/>
          <w:numId w:val="18"/>
        </w:numPr>
      </w:pPr>
      <w:r>
        <w:rPr>
          <w:rFonts w:hint="eastAsia"/>
        </w:rPr>
        <w:t>渭南地区光伏</w:t>
      </w:r>
      <w:r>
        <w:t>领跑者</w:t>
      </w:r>
      <w:r>
        <w:rPr>
          <w:rFonts w:hint="eastAsia"/>
        </w:rPr>
        <w:t>发电</w:t>
      </w:r>
      <w:r>
        <w:t>项目布局</w:t>
      </w:r>
    </w:p>
    <w:p>
      <w:pPr>
        <w:pStyle w:val="132"/>
        <w:numPr>
          <w:ilvl w:val="0"/>
          <w:numId w:val="17"/>
        </w:numPr>
      </w:pPr>
      <w:r>
        <w:rPr>
          <w:rFonts w:hint="eastAsia"/>
        </w:rPr>
        <w:t>渭南市光伏</w:t>
      </w:r>
      <w:r>
        <w:t>发电基地规划装机容量表</w:t>
      </w:r>
      <w:r>
        <w:rPr>
          <w:rFonts w:hint="eastAsia"/>
        </w:rPr>
        <w:t>及</w:t>
      </w:r>
      <w:r>
        <w:t>建设分期</w:t>
      </w:r>
    </w:p>
    <w:tbl>
      <w:tblPr>
        <w:tblStyle w:val="45"/>
        <w:tblW w:w="7513" w:type="dxa"/>
        <w:jc w:val="center"/>
        <w:tblInd w:w="0" w:type="dxa"/>
        <w:tblLayout w:type="fixed"/>
        <w:tblCellMar>
          <w:top w:w="0" w:type="dxa"/>
          <w:left w:w="108" w:type="dxa"/>
          <w:bottom w:w="0" w:type="dxa"/>
          <w:right w:w="108" w:type="dxa"/>
        </w:tblCellMar>
      </w:tblPr>
      <w:tblGrid>
        <w:gridCol w:w="851"/>
        <w:gridCol w:w="1559"/>
        <w:gridCol w:w="1985"/>
        <w:gridCol w:w="1559"/>
        <w:gridCol w:w="1559"/>
      </w:tblGrid>
      <w:tr>
        <w:tblPrEx>
          <w:tblLayout w:type="fixed"/>
          <w:tblCellMar>
            <w:top w:w="0" w:type="dxa"/>
            <w:left w:w="108" w:type="dxa"/>
            <w:bottom w:w="0" w:type="dxa"/>
            <w:right w:w="108" w:type="dxa"/>
          </w:tblCellMar>
        </w:tblPrEx>
        <w:trPr>
          <w:trHeight w:val="397" w:hRule="atLeast"/>
          <w:jc w:val="center"/>
        </w:trPr>
        <w:tc>
          <w:tcPr>
            <w:tcW w:w="85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36"/>
            </w:pPr>
            <w:r>
              <w:rPr>
                <w:rFonts w:hint="eastAsia"/>
              </w:rPr>
              <w:t>编号</w:t>
            </w:r>
          </w:p>
        </w:tc>
        <w:tc>
          <w:tcPr>
            <w:tcW w:w="1559" w:type="dxa"/>
            <w:vMerge w:val="restart"/>
            <w:tcBorders>
              <w:top w:val="single" w:color="auto" w:sz="4" w:space="0"/>
              <w:left w:val="nil"/>
              <w:right w:val="single" w:color="auto" w:sz="4" w:space="0"/>
            </w:tcBorders>
            <w:shd w:val="clear" w:color="auto" w:fill="auto"/>
            <w:vAlign w:val="center"/>
          </w:tcPr>
          <w:p>
            <w:pPr>
              <w:pStyle w:val="36"/>
            </w:pPr>
            <w:r>
              <w:rPr>
                <w:rFonts w:hint="eastAsia"/>
              </w:rPr>
              <w:t>场址所在地</w:t>
            </w:r>
          </w:p>
        </w:tc>
        <w:tc>
          <w:tcPr>
            <w:tcW w:w="1985" w:type="dxa"/>
            <w:vMerge w:val="restart"/>
            <w:tcBorders>
              <w:top w:val="single" w:color="auto" w:sz="4" w:space="0"/>
              <w:left w:val="nil"/>
              <w:right w:val="single" w:color="auto" w:sz="4" w:space="0"/>
            </w:tcBorders>
            <w:shd w:val="clear" w:color="auto" w:fill="auto"/>
            <w:vAlign w:val="center"/>
          </w:tcPr>
          <w:p>
            <w:pPr>
              <w:pStyle w:val="36"/>
            </w:pPr>
            <w:r>
              <w:rPr>
                <w:rFonts w:hint="eastAsia"/>
              </w:rPr>
              <w:t>规划装机容量（MW）</w:t>
            </w:r>
          </w:p>
        </w:tc>
        <w:tc>
          <w:tcPr>
            <w:tcW w:w="3118" w:type="dxa"/>
            <w:gridSpan w:val="2"/>
            <w:tcBorders>
              <w:top w:val="single" w:color="auto" w:sz="4" w:space="0"/>
              <w:left w:val="nil"/>
              <w:bottom w:val="single" w:color="auto" w:sz="4" w:space="0"/>
              <w:right w:val="single" w:color="auto" w:sz="4" w:space="0"/>
            </w:tcBorders>
            <w:shd w:val="clear" w:color="auto" w:fill="auto"/>
            <w:vAlign w:val="center"/>
          </w:tcPr>
          <w:p>
            <w:pPr>
              <w:pStyle w:val="36"/>
            </w:pPr>
            <w:r>
              <w:rPr>
                <w:rFonts w:hint="eastAsia"/>
              </w:rPr>
              <w:t>建设分期</w:t>
            </w:r>
          </w:p>
        </w:tc>
      </w:tr>
      <w:tr>
        <w:tblPrEx>
          <w:tblLayout w:type="fixed"/>
          <w:tblCellMar>
            <w:top w:w="0" w:type="dxa"/>
            <w:left w:w="108" w:type="dxa"/>
            <w:bottom w:w="0" w:type="dxa"/>
            <w:right w:w="108" w:type="dxa"/>
          </w:tblCellMar>
        </w:tblPrEx>
        <w:trPr>
          <w:trHeight w:val="397" w:hRule="atLeast"/>
          <w:jc w:val="center"/>
        </w:trPr>
        <w:tc>
          <w:tcPr>
            <w:tcW w:w="851" w:type="dxa"/>
            <w:vMerge w:val="continue"/>
            <w:tcBorders>
              <w:top w:val="single" w:color="auto" w:sz="4" w:space="0"/>
              <w:left w:val="single" w:color="auto" w:sz="4" w:space="0"/>
              <w:bottom w:val="single" w:color="auto" w:sz="4" w:space="0"/>
              <w:right w:val="single" w:color="auto" w:sz="4" w:space="0"/>
            </w:tcBorders>
            <w:vAlign w:val="center"/>
          </w:tcPr>
          <w:p>
            <w:pPr>
              <w:pStyle w:val="36"/>
            </w:pPr>
          </w:p>
        </w:tc>
        <w:tc>
          <w:tcPr>
            <w:tcW w:w="1559" w:type="dxa"/>
            <w:vMerge w:val="continue"/>
            <w:tcBorders>
              <w:left w:val="nil"/>
              <w:bottom w:val="single" w:color="auto" w:sz="4" w:space="0"/>
              <w:right w:val="single" w:color="auto" w:sz="4" w:space="0"/>
            </w:tcBorders>
            <w:shd w:val="clear" w:color="auto" w:fill="auto"/>
            <w:vAlign w:val="center"/>
          </w:tcPr>
          <w:p>
            <w:pPr>
              <w:pStyle w:val="36"/>
            </w:pPr>
          </w:p>
        </w:tc>
        <w:tc>
          <w:tcPr>
            <w:tcW w:w="1985" w:type="dxa"/>
            <w:vMerge w:val="continue"/>
            <w:tcBorders>
              <w:left w:val="nil"/>
              <w:bottom w:val="single" w:color="auto" w:sz="4" w:space="0"/>
              <w:right w:val="single" w:color="auto" w:sz="4" w:space="0"/>
            </w:tcBorders>
            <w:shd w:val="clear" w:color="auto" w:fill="auto"/>
            <w:vAlign w:val="center"/>
          </w:tcPr>
          <w:p>
            <w:pPr>
              <w:pStyle w:val="36"/>
            </w:pPr>
          </w:p>
        </w:tc>
        <w:tc>
          <w:tcPr>
            <w:tcW w:w="1559" w:type="dxa"/>
            <w:tcBorders>
              <w:top w:val="nil"/>
              <w:left w:val="nil"/>
              <w:bottom w:val="single" w:color="auto" w:sz="4" w:space="0"/>
              <w:right w:val="single" w:color="auto" w:sz="4" w:space="0"/>
            </w:tcBorders>
            <w:shd w:val="clear" w:color="auto" w:fill="auto"/>
            <w:vAlign w:val="center"/>
          </w:tcPr>
          <w:p>
            <w:pPr>
              <w:pStyle w:val="36"/>
            </w:pPr>
            <w:r>
              <w:rPr>
                <w:rFonts w:hint="eastAsia"/>
              </w:rPr>
              <w:t>2017年</w:t>
            </w:r>
          </w:p>
        </w:tc>
        <w:tc>
          <w:tcPr>
            <w:tcW w:w="1559" w:type="dxa"/>
            <w:tcBorders>
              <w:top w:val="nil"/>
              <w:left w:val="nil"/>
              <w:bottom w:val="single" w:color="auto" w:sz="4" w:space="0"/>
              <w:right w:val="single" w:color="auto" w:sz="4" w:space="0"/>
            </w:tcBorders>
            <w:shd w:val="clear" w:color="auto" w:fill="auto"/>
            <w:vAlign w:val="center"/>
          </w:tcPr>
          <w:p>
            <w:pPr>
              <w:pStyle w:val="36"/>
            </w:pPr>
            <w:r>
              <w:rPr>
                <w:rFonts w:hint="eastAsia"/>
              </w:rPr>
              <w:t>2018年</w:t>
            </w:r>
          </w:p>
        </w:tc>
      </w:tr>
      <w:tr>
        <w:tblPrEx>
          <w:tblLayout w:type="fixed"/>
          <w:tblCellMar>
            <w:top w:w="0" w:type="dxa"/>
            <w:left w:w="108" w:type="dxa"/>
            <w:bottom w:w="0" w:type="dxa"/>
            <w:right w:w="108" w:type="dxa"/>
          </w:tblCellMar>
        </w:tblPrEx>
        <w:trPr>
          <w:trHeight w:val="397" w:hRule="atLeast"/>
          <w:jc w:val="center"/>
        </w:trPr>
        <w:tc>
          <w:tcPr>
            <w:tcW w:w="851" w:type="dxa"/>
            <w:tcBorders>
              <w:top w:val="nil"/>
              <w:left w:val="single" w:color="auto" w:sz="4" w:space="0"/>
              <w:bottom w:val="single" w:color="auto" w:sz="4" w:space="0"/>
              <w:right w:val="single" w:color="auto" w:sz="4" w:space="0"/>
            </w:tcBorders>
            <w:shd w:val="clear" w:color="auto" w:fill="auto"/>
            <w:vAlign w:val="center"/>
          </w:tcPr>
          <w:p>
            <w:pPr>
              <w:pStyle w:val="36"/>
            </w:pPr>
            <w:r>
              <w:rPr>
                <w:rFonts w:hint="eastAsia"/>
              </w:rPr>
              <w:t>1</w:t>
            </w:r>
          </w:p>
        </w:tc>
        <w:tc>
          <w:tcPr>
            <w:tcW w:w="1559" w:type="dxa"/>
            <w:tcBorders>
              <w:top w:val="nil"/>
              <w:left w:val="single" w:color="auto" w:sz="4" w:space="0"/>
              <w:bottom w:val="single" w:color="auto" w:sz="4" w:space="0"/>
              <w:right w:val="single" w:color="auto" w:sz="4" w:space="0"/>
            </w:tcBorders>
            <w:shd w:val="clear" w:color="auto" w:fill="auto"/>
            <w:vAlign w:val="center"/>
          </w:tcPr>
          <w:p>
            <w:pPr>
              <w:pStyle w:val="36"/>
            </w:pPr>
            <w:r>
              <w:rPr>
                <w:rFonts w:hint="eastAsia"/>
              </w:rPr>
              <w:t>合阳县</w:t>
            </w:r>
          </w:p>
        </w:tc>
        <w:tc>
          <w:tcPr>
            <w:tcW w:w="1985" w:type="dxa"/>
            <w:tcBorders>
              <w:top w:val="nil"/>
              <w:left w:val="nil"/>
              <w:bottom w:val="single" w:color="auto" w:sz="4" w:space="0"/>
              <w:right w:val="single" w:color="auto" w:sz="4" w:space="0"/>
            </w:tcBorders>
            <w:shd w:val="clear" w:color="auto" w:fill="auto"/>
            <w:vAlign w:val="center"/>
          </w:tcPr>
          <w:p>
            <w:pPr>
              <w:pStyle w:val="36"/>
            </w:pPr>
            <w:r>
              <w:t>410</w:t>
            </w:r>
          </w:p>
        </w:tc>
        <w:tc>
          <w:tcPr>
            <w:tcW w:w="1559" w:type="dxa"/>
            <w:tcBorders>
              <w:top w:val="nil"/>
              <w:left w:val="nil"/>
              <w:bottom w:val="single" w:color="auto" w:sz="4" w:space="0"/>
              <w:right w:val="single" w:color="auto" w:sz="4" w:space="0"/>
            </w:tcBorders>
            <w:shd w:val="clear" w:color="auto" w:fill="auto"/>
            <w:vAlign w:val="center"/>
          </w:tcPr>
          <w:p>
            <w:pPr>
              <w:pStyle w:val="36"/>
            </w:pPr>
            <w:r>
              <w:t>—</w:t>
            </w:r>
          </w:p>
        </w:tc>
        <w:tc>
          <w:tcPr>
            <w:tcW w:w="1559" w:type="dxa"/>
            <w:tcBorders>
              <w:top w:val="nil"/>
              <w:left w:val="nil"/>
              <w:bottom w:val="single" w:color="auto" w:sz="4" w:space="0"/>
              <w:right w:val="single" w:color="auto" w:sz="4" w:space="0"/>
            </w:tcBorders>
            <w:shd w:val="clear" w:color="auto" w:fill="auto"/>
            <w:vAlign w:val="center"/>
          </w:tcPr>
          <w:p>
            <w:pPr>
              <w:pStyle w:val="36"/>
            </w:pPr>
            <w:r>
              <w:t>410</w:t>
            </w:r>
          </w:p>
        </w:tc>
      </w:tr>
      <w:tr>
        <w:tblPrEx>
          <w:tblLayout w:type="fixed"/>
          <w:tblCellMar>
            <w:top w:w="0" w:type="dxa"/>
            <w:left w:w="108" w:type="dxa"/>
            <w:bottom w:w="0" w:type="dxa"/>
            <w:right w:w="108" w:type="dxa"/>
          </w:tblCellMar>
        </w:tblPrEx>
        <w:trPr>
          <w:trHeight w:val="397" w:hRule="atLeast"/>
          <w:jc w:val="center"/>
        </w:trPr>
        <w:tc>
          <w:tcPr>
            <w:tcW w:w="851" w:type="dxa"/>
            <w:tcBorders>
              <w:top w:val="nil"/>
              <w:left w:val="single" w:color="auto" w:sz="4" w:space="0"/>
              <w:bottom w:val="single" w:color="auto" w:sz="4" w:space="0"/>
              <w:right w:val="single" w:color="auto" w:sz="4" w:space="0"/>
            </w:tcBorders>
            <w:shd w:val="clear" w:color="auto" w:fill="auto"/>
            <w:vAlign w:val="center"/>
          </w:tcPr>
          <w:p>
            <w:pPr>
              <w:pStyle w:val="36"/>
            </w:pPr>
            <w:r>
              <w:rPr>
                <w:rFonts w:hint="eastAsia"/>
              </w:rPr>
              <w:t>5</w:t>
            </w:r>
          </w:p>
        </w:tc>
        <w:tc>
          <w:tcPr>
            <w:tcW w:w="1559" w:type="dxa"/>
            <w:tcBorders>
              <w:top w:val="nil"/>
              <w:left w:val="single" w:color="auto" w:sz="4" w:space="0"/>
              <w:bottom w:val="single" w:color="auto" w:sz="4" w:space="0"/>
              <w:right w:val="single" w:color="auto" w:sz="4" w:space="0"/>
            </w:tcBorders>
            <w:shd w:val="clear" w:color="auto" w:fill="auto"/>
            <w:vAlign w:val="center"/>
          </w:tcPr>
          <w:p>
            <w:pPr>
              <w:pStyle w:val="36"/>
            </w:pPr>
            <w:r>
              <w:rPr>
                <w:rFonts w:hint="eastAsia"/>
              </w:rPr>
              <w:t>白水县</w:t>
            </w:r>
          </w:p>
        </w:tc>
        <w:tc>
          <w:tcPr>
            <w:tcW w:w="1985" w:type="dxa"/>
            <w:tcBorders>
              <w:top w:val="nil"/>
              <w:left w:val="nil"/>
              <w:bottom w:val="single" w:color="auto" w:sz="4" w:space="0"/>
              <w:right w:val="single" w:color="auto" w:sz="4" w:space="0"/>
            </w:tcBorders>
            <w:shd w:val="clear" w:color="auto" w:fill="auto"/>
            <w:vAlign w:val="center"/>
          </w:tcPr>
          <w:p>
            <w:pPr>
              <w:pStyle w:val="36"/>
            </w:pPr>
            <w:r>
              <w:t>3</w:t>
            </w:r>
            <w:r>
              <w:rPr>
                <w:rFonts w:hint="eastAsia"/>
              </w:rPr>
              <w:t>00</w:t>
            </w:r>
          </w:p>
        </w:tc>
        <w:tc>
          <w:tcPr>
            <w:tcW w:w="1559" w:type="dxa"/>
            <w:tcBorders>
              <w:top w:val="nil"/>
              <w:left w:val="nil"/>
              <w:bottom w:val="single" w:color="auto" w:sz="4" w:space="0"/>
              <w:right w:val="single" w:color="auto" w:sz="4" w:space="0"/>
            </w:tcBorders>
            <w:shd w:val="clear" w:color="auto" w:fill="auto"/>
            <w:vAlign w:val="center"/>
          </w:tcPr>
          <w:p>
            <w:pPr>
              <w:pStyle w:val="36"/>
            </w:pPr>
            <w:r>
              <w:t>3</w:t>
            </w:r>
            <w:r>
              <w:rPr>
                <w:rFonts w:hint="eastAsia"/>
              </w:rPr>
              <w:t>00</w:t>
            </w:r>
          </w:p>
        </w:tc>
        <w:tc>
          <w:tcPr>
            <w:tcW w:w="1559" w:type="dxa"/>
            <w:tcBorders>
              <w:top w:val="nil"/>
              <w:left w:val="nil"/>
              <w:bottom w:val="single" w:color="auto" w:sz="4" w:space="0"/>
              <w:right w:val="single" w:color="auto" w:sz="4" w:space="0"/>
            </w:tcBorders>
            <w:shd w:val="clear" w:color="auto" w:fill="auto"/>
            <w:vAlign w:val="center"/>
          </w:tcPr>
          <w:p>
            <w:pPr>
              <w:spacing w:line="240" w:lineRule="auto"/>
              <w:jc w:val="center"/>
            </w:pPr>
            <w:r>
              <w:rPr>
                <w:rFonts w:asciiTheme="minorEastAsia" w:hAnsiTheme="minorEastAsia" w:eastAsiaTheme="minorEastAsia"/>
                <w:color w:val="000000"/>
                <w:szCs w:val="21"/>
              </w:rPr>
              <w:t>—</w:t>
            </w:r>
          </w:p>
        </w:tc>
      </w:tr>
      <w:tr>
        <w:tblPrEx>
          <w:tblLayout w:type="fixed"/>
          <w:tblCellMar>
            <w:top w:w="0" w:type="dxa"/>
            <w:left w:w="108" w:type="dxa"/>
            <w:bottom w:w="0" w:type="dxa"/>
            <w:right w:w="108" w:type="dxa"/>
          </w:tblCellMar>
        </w:tblPrEx>
        <w:trPr>
          <w:trHeight w:val="397" w:hRule="atLeast"/>
          <w:jc w:val="center"/>
        </w:trPr>
        <w:tc>
          <w:tcPr>
            <w:tcW w:w="851" w:type="dxa"/>
            <w:tcBorders>
              <w:top w:val="nil"/>
              <w:left w:val="single" w:color="auto" w:sz="4" w:space="0"/>
              <w:bottom w:val="single" w:color="auto" w:sz="4" w:space="0"/>
              <w:right w:val="single" w:color="auto" w:sz="4" w:space="0"/>
            </w:tcBorders>
            <w:shd w:val="clear" w:color="auto" w:fill="auto"/>
            <w:vAlign w:val="center"/>
          </w:tcPr>
          <w:p>
            <w:pPr>
              <w:pStyle w:val="36"/>
            </w:pPr>
            <w:r>
              <w:rPr>
                <w:rFonts w:hint="eastAsia"/>
              </w:rPr>
              <w:t>9</w:t>
            </w:r>
          </w:p>
        </w:tc>
        <w:tc>
          <w:tcPr>
            <w:tcW w:w="1559" w:type="dxa"/>
            <w:tcBorders>
              <w:top w:val="nil"/>
              <w:left w:val="single" w:color="auto" w:sz="4" w:space="0"/>
              <w:bottom w:val="single" w:color="auto" w:sz="4" w:space="0"/>
              <w:right w:val="single" w:color="auto" w:sz="4" w:space="0"/>
            </w:tcBorders>
            <w:shd w:val="clear" w:color="auto" w:fill="auto"/>
            <w:vAlign w:val="center"/>
          </w:tcPr>
          <w:p>
            <w:pPr>
              <w:pStyle w:val="36"/>
            </w:pPr>
            <w:r>
              <w:rPr>
                <w:rFonts w:hint="eastAsia"/>
              </w:rPr>
              <w:t>澄城县</w:t>
            </w:r>
          </w:p>
        </w:tc>
        <w:tc>
          <w:tcPr>
            <w:tcW w:w="1985" w:type="dxa"/>
            <w:tcBorders>
              <w:top w:val="nil"/>
              <w:left w:val="nil"/>
              <w:bottom w:val="single" w:color="auto" w:sz="4" w:space="0"/>
              <w:right w:val="single" w:color="auto" w:sz="4" w:space="0"/>
            </w:tcBorders>
            <w:shd w:val="clear" w:color="auto" w:fill="auto"/>
            <w:vAlign w:val="center"/>
          </w:tcPr>
          <w:p>
            <w:pPr>
              <w:pStyle w:val="36"/>
            </w:pPr>
            <w:r>
              <w:t>450</w:t>
            </w:r>
          </w:p>
        </w:tc>
        <w:tc>
          <w:tcPr>
            <w:tcW w:w="1559" w:type="dxa"/>
            <w:tcBorders>
              <w:top w:val="nil"/>
              <w:left w:val="nil"/>
              <w:bottom w:val="single" w:color="auto" w:sz="4" w:space="0"/>
              <w:right w:val="single" w:color="auto" w:sz="4" w:space="0"/>
            </w:tcBorders>
            <w:shd w:val="clear" w:color="auto" w:fill="auto"/>
            <w:vAlign w:val="center"/>
          </w:tcPr>
          <w:p>
            <w:pPr>
              <w:spacing w:line="240" w:lineRule="auto"/>
              <w:jc w:val="center"/>
            </w:pPr>
            <w:r>
              <w:rPr>
                <w:rFonts w:asciiTheme="minorEastAsia" w:hAnsiTheme="minorEastAsia" w:eastAsiaTheme="minorEastAsia"/>
                <w:color w:val="000000"/>
                <w:szCs w:val="21"/>
              </w:rPr>
              <w:t>150</w:t>
            </w:r>
          </w:p>
        </w:tc>
        <w:tc>
          <w:tcPr>
            <w:tcW w:w="1559" w:type="dxa"/>
            <w:tcBorders>
              <w:top w:val="nil"/>
              <w:left w:val="nil"/>
              <w:bottom w:val="single" w:color="auto" w:sz="4" w:space="0"/>
              <w:right w:val="single" w:color="auto" w:sz="4" w:space="0"/>
            </w:tcBorders>
            <w:shd w:val="clear" w:color="auto" w:fill="auto"/>
            <w:vAlign w:val="center"/>
          </w:tcPr>
          <w:p>
            <w:pPr>
              <w:pStyle w:val="36"/>
            </w:pPr>
            <w:r>
              <w:t>300</w:t>
            </w:r>
          </w:p>
        </w:tc>
      </w:tr>
      <w:tr>
        <w:tblPrEx>
          <w:tblLayout w:type="fixed"/>
          <w:tblCellMar>
            <w:top w:w="0" w:type="dxa"/>
            <w:left w:w="108" w:type="dxa"/>
            <w:bottom w:w="0" w:type="dxa"/>
            <w:right w:w="108" w:type="dxa"/>
          </w:tblCellMar>
        </w:tblPrEx>
        <w:trPr>
          <w:trHeight w:val="397" w:hRule="atLeast"/>
          <w:jc w:val="center"/>
        </w:trPr>
        <w:tc>
          <w:tcPr>
            <w:tcW w:w="851" w:type="dxa"/>
            <w:tcBorders>
              <w:top w:val="nil"/>
              <w:left w:val="single" w:color="auto" w:sz="4" w:space="0"/>
              <w:bottom w:val="single" w:color="auto" w:sz="4" w:space="0"/>
              <w:right w:val="single" w:color="auto" w:sz="4" w:space="0"/>
            </w:tcBorders>
            <w:shd w:val="clear" w:color="auto" w:fill="auto"/>
            <w:vAlign w:val="center"/>
          </w:tcPr>
          <w:p>
            <w:pPr>
              <w:pStyle w:val="36"/>
            </w:pPr>
            <w:r>
              <w:rPr>
                <w:rFonts w:hint="eastAsia"/>
              </w:rPr>
              <w:t>13</w:t>
            </w:r>
          </w:p>
        </w:tc>
        <w:tc>
          <w:tcPr>
            <w:tcW w:w="1559" w:type="dxa"/>
            <w:tcBorders>
              <w:top w:val="nil"/>
              <w:left w:val="single" w:color="auto" w:sz="4" w:space="0"/>
              <w:bottom w:val="single" w:color="auto" w:sz="4" w:space="0"/>
              <w:right w:val="single" w:color="auto" w:sz="4" w:space="0"/>
            </w:tcBorders>
            <w:shd w:val="clear" w:color="auto" w:fill="auto"/>
            <w:vAlign w:val="center"/>
          </w:tcPr>
          <w:p>
            <w:pPr>
              <w:pStyle w:val="36"/>
            </w:pPr>
            <w:r>
              <w:rPr>
                <w:rFonts w:hint="eastAsia"/>
              </w:rPr>
              <w:t>大荔县</w:t>
            </w:r>
          </w:p>
        </w:tc>
        <w:tc>
          <w:tcPr>
            <w:tcW w:w="1985" w:type="dxa"/>
            <w:tcBorders>
              <w:top w:val="nil"/>
              <w:left w:val="nil"/>
              <w:bottom w:val="single" w:color="auto" w:sz="4" w:space="0"/>
              <w:right w:val="single" w:color="auto" w:sz="4" w:space="0"/>
            </w:tcBorders>
            <w:shd w:val="clear" w:color="auto" w:fill="auto"/>
            <w:vAlign w:val="center"/>
          </w:tcPr>
          <w:p>
            <w:pPr>
              <w:pStyle w:val="36"/>
            </w:pPr>
            <w:r>
              <w:t>7</w:t>
            </w:r>
            <w:r>
              <w:rPr>
                <w:rFonts w:hint="eastAsia"/>
              </w:rPr>
              <w:t>00</w:t>
            </w:r>
          </w:p>
        </w:tc>
        <w:tc>
          <w:tcPr>
            <w:tcW w:w="1559" w:type="dxa"/>
            <w:tcBorders>
              <w:top w:val="nil"/>
              <w:left w:val="nil"/>
              <w:bottom w:val="single" w:color="auto" w:sz="4" w:space="0"/>
              <w:right w:val="single" w:color="auto" w:sz="4" w:space="0"/>
            </w:tcBorders>
            <w:shd w:val="clear" w:color="auto" w:fill="auto"/>
            <w:vAlign w:val="center"/>
          </w:tcPr>
          <w:p>
            <w:pPr>
              <w:pStyle w:val="36"/>
            </w:pPr>
            <w:r>
              <w:t>600</w:t>
            </w:r>
          </w:p>
        </w:tc>
        <w:tc>
          <w:tcPr>
            <w:tcW w:w="1559" w:type="dxa"/>
            <w:tcBorders>
              <w:top w:val="nil"/>
              <w:left w:val="nil"/>
              <w:bottom w:val="single" w:color="auto" w:sz="4" w:space="0"/>
              <w:right w:val="single" w:color="auto" w:sz="4" w:space="0"/>
            </w:tcBorders>
            <w:shd w:val="clear" w:color="auto" w:fill="auto"/>
            <w:vAlign w:val="center"/>
          </w:tcPr>
          <w:p>
            <w:pPr>
              <w:pStyle w:val="36"/>
            </w:pPr>
            <w:r>
              <w:rPr>
                <w:rFonts w:hint="eastAsia"/>
              </w:rPr>
              <w:t>100</w:t>
            </w:r>
          </w:p>
        </w:tc>
      </w:tr>
      <w:tr>
        <w:tblPrEx>
          <w:tblLayout w:type="fixed"/>
          <w:tblCellMar>
            <w:top w:w="0" w:type="dxa"/>
            <w:left w:w="108" w:type="dxa"/>
            <w:bottom w:w="0" w:type="dxa"/>
            <w:right w:w="108" w:type="dxa"/>
          </w:tblCellMar>
        </w:tblPrEx>
        <w:trPr>
          <w:trHeight w:val="397" w:hRule="atLeast"/>
          <w:jc w:val="center"/>
        </w:trPr>
        <w:tc>
          <w:tcPr>
            <w:tcW w:w="851" w:type="dxa"/>
            <w:tcBorders>
              <w:top w:val="nil"/>
              <w:left w:val="single" w:color="auto" w:sz="4" w:space="0"/>
              <w:bottom w:val="single" w:color="auto" w:sz="4" w:space="0"/>
              <w:right w:val="single" w:color="auto" w:sz="4" w:space="0"/>
            </w:tcBorders>
            <w:shd w:val="clear" w:color="auto" w:fill="auto"/>
            <w:vAlign w:val="center"/>
          </w:tcPr>
          <w:p>
            <w:pPr>
              <w:pStyle w:val="36"/>
            </w:pPr>
            <w:r>
              <w:rPr>
                <w:rFonts w:hint="eastAsia"/>
              </w:rPr>
              <w:t>18</w:t>
            </w:r>
          </w:p>
        </w:tc>
        <w:tc>
          <w:tcPr>
            <w:tcW w:w="1559" w:type="dxa"/>
            <w:tcBorders>
              <w:top w:val="nil"/>
              <w:left w:val="nil"/>
              <w:bottom w:val="single" w:color="auto" w:sz="4" w:space="0"/>
              <w:right w:val="single" w:color="auto" w:sz="4" w:space="0"/>
            </w:tcBorders>
            <w:shd w:val="clear" w:color="auto" w:fill="auto"/>
            <w:vAlign w:val="center"/>
          </w:tcPr>
          <w:p>
            <w:pPr>
              <w:pStyle w:val="36"/>
            </w:pPr>
            <w:r>
              <w:rPr>
                <w:rFonts w:hint="eastAsia"/>
              </w:rPr>
              <w:t>富平县</w:t>
            </w:r>
          </w:p>
        </w:tc>
        <w:tc>
          <w:tcPr>
            <w:tcW w:w="1985" w:type="dxa"/>
            <w:tcBorders>
              <w:top w:val="nil"/>
              <w:left w:val="nil"/>
              <w:bottom w:val="single" w:color="auto" w:sz="4" w:space="0"/>
              <w:right w:val="single" w:color="auto" w:sz="4" w:space="0"/>
            </w:tcBorders>
            <w:shd w:val="clear" w:color="auto" w:fill="auto"/>
            <w:vAlign w:val="center"/>
          </w:tcPr>
          <w:p>
            <w:pPr>
              <w:pStyle w:val="36"/>
            </w:pPr>
            <w:r>
              <w:rPr>
                <w:rFonts w:hint="eastAsia"/>
              </w:rPr>
              <w:t>60</w:t>
            </w:r>
          </w:p>
        </w:tc>
        <w:tc>
          <w:tcPr>
            <w:tcW w:w="1559" w:type="dxa"/>
            <w:tcBorders>
              <w:top w:val="nil"/>
              <w:left w:val="nil"/>
              <w:bottom w:val="single" w:color="auto" w:sz="4" w:space="0"/>
              <w:right w:val="single" w:color="auto" w:sz="4" w:space="0"/>
            </w:tcBorders>
            <w:shd w:val="clear" w:color="auto" w:fill="auto"/>
            <w:vAlign w:val="center"/>
          </w:tcPr>
          <w:p>
            <w:pPr>
              <w:pStyle w:val="36"/>
            </w:pPr>
            <w:r>
              <w:t>—</w:t>
            </w:r>
          </w:p>
        </w:tc>
        <w:tc>
          <w:tcPr>
            <w:tcW w:w="1559" w:type="dxa"/>
            <w:tcBorders>
              <w:top w:val="nil"/>
              <w:left w:val="nil"/>
              <w:bottom w:val="single" w:color="auto" w:sz="4" w:space="0"/>
              <w:right w:val="single" w:color="auto" w:sz="4" w:space="0"/>
            </w:tcBorders>
            <w:shd w:val="clear" w:color="auto" w:fill="auto"/>
            <w:vAlign w:val="center"/>
          </w:tcPr>
          <w:p>
            <w:pPr>
              <w:pStyle w:val="36"/>
            </w:pPr>
            <w:r>
              <w:rPr>
                <w:rFonts w:hint="eastAsia"/>
              </w:rPr>
              <w:t>60</w:t>
            </w:r>
          </w:p>
        </w:tc>
      </w:tr>
      <w:tr>
        <w:tblPrEx>
          <w:tblLayout w:type="fixed"/>
          <w:tblCellMar>
            <w:top w:w="0" w:type="dxa"/>
            <w:left w:w="108" w:type="dxa"/>
            <w:bottom w:w="0" w:type="dxa"/>
            <w:right w:w="108" w:type="dxa"/>
          </w:tblCellMar>
        </w:tblPrEx>
        <w:trPr>
          <w:trHeight w:val="397" w:hRule="atLeast"/>
          <w:jc w:val="center"/>
        </w:trPr>
        <w:tc>
          <w:tcPr>
            <w:tcW w:w="851" w:type="dxa"/>
            <w:tcBorders>
              <w:top w:val="nil"/>
              <w:left w:val="single" w:color="auto" w:sz="4" w:space="0"/>
              <w:bottom w:val="single" w:color="auto" w:sz="4" w:space="0"/>
              <w:right w:val="single" w:color="auto" w:sz="4" w:space="0"/>
            </w:tcBorders>
            <w:shd w:val="clear" w:color="auto" w:fill="auto"/>
            <w:vAlign w:val="center"/>
          </w:tcPr>
          <w:p>
            <w:pPr>
              <w:pStyle w:val="36"/>
            </w:pPr>
          </w:p>
        </w:tc>
        <w:tc>
          <w:tcPr>
            <w:tcW w:w="1559" w:type="dxa"/>
            <w:tcBorders>
              <w:top w:val="nil"/>
              <w:left w:val="nil"/>
              <w:bottom w:val="single" w:color="auto" w:sz="4" w:space="0"/>
              <w:right w:val="single" w:color="auto" w:sz="4" w:space="0"/>
            </w:tcBorders>
            <w:shd w:val="clear" w:color="auto" w:fill="auto"/>
            <w:vAlign w:val="center"/>
          </w:tcPr>
          <w:p>
            <w:pPr>
              <w:pStyle w:val="36"/>
            </w:pPr>
          </w:p>
        </w:tc>
        <w:tc>
          <w:tcPr>
            <w:tcW w:w="1985" w:type="dxa"/>
            <w:tcBorders>
              <w:top w:val="nil"/>
              <w:left w:val="nil"/>
              <w:bottom w:val="single" w:color="auto" w:sz="4" w:space="0"/>
              <w:right w:val="single" w:color="auto" w:sz="4" w:space="0"/>
            </w:tcBorders>
            <w:shd w:val="clear" w:color="auto" w:fill="auto"/>
            <w:vAlign w:val="center"/>
          </w:tcPr>
          <w:p>
            <w:pPr>
              <w:pStyle w:val="36"/>
            </w:pPr>
            <w:r>
              <w:rPr>
                <w:rFonts w:hint="eastAsia"/>
              </w:rPr>
              <w:t>1920</w:t>
            </w:r>
          </w:p>
        </w:tc>
        <w:tc>
          <w:tcPr>
            <w:tcW w:w="1559" w:type="dxa"/>
            <w:tcBorders>
              <w:top w:val="nil"/>
              <w:left w:val="nil"/>
              <w:bottom w:val="single" w:color="auto" w:sz="4" w:space="0"/>
              <w:right w:val="single" w:color="auto" w:sz="4" w:space="0"/>
            </w:tcBorders>
            <w:shd w:val="clear" w:color="auto" w:fill="auto"/>
            <w:vAlign w:val="center"/>
          </w:tcPr>
          <w:p>
            <w:pPr>
              <w:pStyle w:val="36"/>
            </w:pPr>
            <w:r>
              <w:rPr>
                <w:rFonts w:hint="eastAsia"/>
              </w:rPr>
              <w:t>1050</w:t>
            </w:r>
          </w:p>
        </w:tc>
        <w:tc>
          <w:tcPr>
            <w:tcW w:w="1559" w:type="dxa"/>
            <w:tcBorders>
              <w:top w:val="nil"/>
              <w:left w:val="nil"/>
              <w:bottom w:val="single" w:color="auto" w:sz="4" w:space="0"/>
              <w:right w:val="single" w:color="auto" w:sz="4" w:space="0"/>
            </w:tcBorders>
            <w:shd w:val="clear" w:color="auto" w:fill="auto"/>
            <w:vAlign w:val="center"/>
          </w:tcPr>
          <w:p>
            <w:pPr>
              <w:pStyle w:val="36"/>
            </w:pPr>
            <w:r>
              <w:rPr>
                <w:rFonts w:hint="eastAsia"/>
              </w:rPr>
              <w:t>870</w:t>
            </w:r>
          </w:p>
        </w:tc>
      </w:tr>
    </w:tbl>
    <w:p>
      <w:pPr>
        <w:pStyle w:val="128"/>
      </w:pPr>
      <w:bookmarkStart w:id="124" w:name="OLE_LINK159"/>
      <w:bookmarkStart w:id="125" w:name="OLE_LINK160"/>
    </w:p>
    <w:p>
      <w:pPr>
        <w:pStyle w:val="128"/>
      </w:pPr>
      <w:r>
        <w:rPr>
          <w:rFonts w:hint="eastAsia"/>
        </w:rPr>
        <w:t>（2）风电项目布局</w:t>
      </w:r>
      <w:bookmarkEnd w:id="124"/>
      <w:bookmarkEnd w:id="125"/>
    </w:p>
    <w:p>
      <w:pPr>
        <w:pStyle w:val="128"/>
      </w:pPr>
      <w:r>
        <w:rPr>
          <w:rFonts w:hint="eastAsia"/>
        </w:rPr>
        <w:t>渭南市</w:t>
      </w:r>
      <w:r>
        <w:t>风电项目</w:t>
      </w:r>
      <w:r>
        <w:rPr>
          <w:rFonts w:hint="eastAsia"/>
        </w:rPr>
        <w:t>总装机容量约为10</w:t>
      </w:r>
      <w:r>
        <w:t>59.4</w:t>
      </w:r>
      <w:r>
        <w:rPr>
          <w:rFonts w:hint="eastAsia"/>
        </w:rPr>
        <w:t>MW，现状</w:t>
      </w:r>
      <w:r>
        <w:t>已并网装机</w:t>
      </w:r>
      <w:r>
        <w:rPr>
          <w:rFonts w:hint="eastAsia"/>
        </w:rPr>
        <w:t>规模29.4MW，为</w:t>
      </w:r>
      <w:r>
        <w:t>中广核渭南潼关29.4MW分散式风电场</w:t>
      </w:r>
      <w:r>
        <w:rPr>
          <w:rFonts w:hint="eastAsia"/>
        </w:rPr>
        <w:t>。“十三五”期间</w:t>
      </w:r>
      <w:r>
        <w:t>新增</w:t>
      </w:r>
      <w:r>
        <w:rPr>
          <w:rFonts w:hint="eastAsia"/>
        </w:rPr>
        <w:t>风电项目装机容量为</w:t>
      </w:r>
      <w:r>
        <w:t>1030MW</w:t>
      </w:r>
      <w:r>
        <w:rPr>
          <w:rFonts w:hint="eastAsia"/>
        </w:rPr>
        <w:t>，主要</w:t>
      </w:r>
      <w:r>
        <w:t>分布在富平、白水、澄城、合阳、</w:t>
      </w:r>
      <w:r>
        <w:rPr>
          <w:rFonts w:hint="eastAsia"/>
        </w:rPr>
        <w:t>大荔</w:t>
      </w:r>
      <w:r>
        <w:t>、潼关、韩城等七个县。</w:t>
      </w:r>
      <w:r>
        <w:rPr>
          <w:rFonts w:hint="eastAsia"/>
        </w:rPr>
        <w:t>其中</w:t>
      </w:r>
      <w:r>
        <w:t>2016</w:t>
      </w:r>
      <w:r>
        <w:rPr>
          <w:rFonts w:hint="eastAsia"/>
        </w:rPr>
        <w:t>-</w:t>
      </w:r>
      <w:r>
        <w:t>2017</w:t>
      </w:r>
      <w:r>
        <w:rPr>
          <w:rFonts w:hint="eastAsia"/>
        </w:rPr>
        <w:t>年新增的风电项目总装机容量为</w:t>
      </w:r>
      <w:r>
        <w:t>180MW</w:t>
      </w:r>
      <w:r>
        <w:rPr>
          <w:rFonts w:hint="eastAsia"/>
        </w:rPr>
        <w:t>，主要是</w:t>
      </w:r>
      <w:r>
        <w:t>目前已备案风电项目，包括：</w:t>
      </w:r>
      <w:r>
        <w:rPr>
          <w:rFonts w:hint="eastAsia"/>
        </w:rPr>
        <w:t>国华渭南白水方山风电场项目、渭南天润合阳黑池坊风电项目、</w:t>
      </w:r>
      <w:r>
        <w:t>中广核渭南潼关港口50MW风电场工程</w:t>
      </w:r>
      <w:r>
        <w:rPr>
          <w:rFonts w:hint="eastAsia"/>
        </w:rPr>
        <w:t>项目</w:t>
      </w:r>
      <w:r>
        <w:t>和华润渭南潼关港口风电场</w:t>
      </w:r>
      <w:r>
        <w:rPr>
          <w:rFonts w:hint="eastAsia"/>
        </w:rPr>
        <w:t>项目；</w:t>
      </w:r>
      <w:r>
        <w:t>2018</w:t>
      </w:r>
      <w:r>
        <w:rPr>
          <w:rFonts w:hint="eastAsia"/>
        </w:rPr>
        <w:t>-</w:t>
      </w:r>
      <w:r>
        <w:t>2020</w:t>
      </w:r>
      <w:r>
        <w:rPr>
          <w:rFonts w:hint="eastAsia"/>
        </w:rPr>
        <w:t>年新增的风电项目总装机容量为</w:t>
      </w:r>
      <w:r>
        <w:t>850MW</w:t>
      </w:r>
      <w:r>
        <w:rPr>
          <w:rFonts w:hint="eastAsia"/>
        </w:rPr>
        <w:t>，</w:t>
      </w:r>
      <w:r>
        <w:t>主要分布在富平、白水、</w:t>
      </w:r>
      <w:r>
        <w:rPr>
          <w:rFonts w:hint="eastAsia"/>
        </w:rPr>
        <w:t>澄城</w:t>
      </w:r>
      <w:r>
        <w:t>、合阳、</w:t>
      </w:r>
      <w:r>
        <w:rPr>
          <w:rFonts w:hint="eastAsia"/>
        </w:rPr>
        <w:t>大荔</w:t>
      </w:r>
      <w:r>
        <w:t>、潼关和韩城</w:t>
      </w:r>
      <w:r>
        <w:rPr>
          <w:rFonts w:hint="eastAsia"/>
        </w:rPr>
        <w:t>等</w:t>
      </w:r>
      <w:r>
        <w:t>县</w:t>
      </w:r>
      <w:r>
        <w:rPr>
          <w:rFonts w:hint="eastAsia"/>
        </w:rPr>
        <w:t>。</w:t>
      </w:r>
    </w:p>
    <w:p>
      <w:pPr>
        <w:pStyle w:val="132"/>
        <w:numPr>
          <w:ilvl w:val="0"/>
          <w:numId w:val="17"/>
        </w:numPr>
      </w:pPr>
      <w:r>
        <w:rPr>
          <w:rFonts w:hint="eastAsia"/>
        </w:rPr>
        <w:t>渭南地区规划风电场项目布局</w:t>
      </w:r>
      <w:r>
        <w:t>表</w:t>
      </w:r>
    </w:p>
    <w:tbl>
      <w:tblPr>
        <w:tblStyle w:val="45"/>
        <w:tblW w:w="894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3"/>
        <w:gridCol w:w="574"/>
        <w:gridCol w:w="2671"/>
        <w:gridCol w:w="1134"/>
        <w:gridCol w:w="1308"/>
        <w:gridCol w:w="1308"/>
        <w:gridCol w:w="13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43" w:type="dxa"/>
            <w:vMerge w:val="restart"/>
            <w:shd w:val="clear" w:color="auto" w:fill="auto"/>
            <w:vAlign w:val="center"/>
          </w:tcPr>
          <w:p>
            <w:pPr>
              <w:pStyle w:val="36"/>
            </w:pPr>
            <w:bookmarkStart w:id="126" w:name="OLE_LINK161"/>
            <w:bookmarkStart w:id="127" w:name="OLE_LINK162"/>
            <w:r>
              <w:t>区县</w:t>
            </w:r>
          </w:p>
        </w:tc>
        <w:tc>
          <w:tcPr>
            <w:tcW w:w="574" w:type="dxa"/>
            <w:vMerge w:val="restart"/>
            <w:shd w:val="clear" w:color="auto" w:fill="auto"/>
            <w:vAlign w:val="center"/>
          </w:tcPr>
          <w:p>
            <w:pPr>
              <w:pStyle w:val="36"/>
            </w:pPr>
            <w:r>
              <w:t>序号</w:t>
            </w:r>
          </w:p>
        </w:tc>
        <w:tc>
          <w:tcPr>
            <w:tcW w:w="2671" w:type="dxa"/>
            <w:vMerge w:val="restart"/>
            <w:shd w:val="clear" w:color="auto" w:fill="auto"/>
            <w:vAlign w:val="center"/>
          </w:tcPr>
          <w:p>
            <w:pPr>
              <w:pStyle w:val="36"/>
            </w:pPr>
            <w:r>
              <w:rPr>
                <w:rFonts w:hint="eastAsia"/>
              </w:rPr>
              <w:t>场址</w:t>
            </w:r>
            <w:r>
              <w:t>位置</w:t>
            </w:r>
          </w:p>
        </w:tc>
        <w:tc>
          <w:tcPr>
            <w:tcW w:w="1134" w:type="dxa"/>
            <w:vMerge w:val="restart"/>
            <w:shd w:val="clear" w:color="auto" w:fill="auto"/>
            <w:vAlign w:val="center"/>
          </w:tcPr>
          <w:p>
            <w:pPr>
              <w:pStyle w:val="36"/>
            </w:pPr>
            <w:r>
              <w:t>装机容量（MW）</w:t>
            </w:r>
          </w:p>
        </w:tc>
        <w:tc>
          <w:tcPr>
            <w:tcW w:w="2616" w:type="dxa"/>
            <w:gridSpan w:val="2"/>
            <w:vAlign w:val="center"/>
          </w:tcPr>
          <w:p>
            <w:pPr>
              <w:pStyle w:val="36"/>
            </w:pPr>
            <w:r>
              <w:rPr>
                <w:rFonts w:hint="eastAsia"/>
              </w:rPr>
              <w:t>建设分期（年）</w:t>
            </w:r>
          </w:p>
        </w:tc>
        <w:tc>
          <w:tcPr>
            <w:tcW w:w="1308" w:type="dxa"/>
            <w:vAlign w:val="center"/>
          </w:tcPr>
          <w:p>
            <w:pPr>
              <w:pStyle w:val="36"/>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43" w:type="dxa"/>
            <w:vMerge w:val="continue"/>
            <w:shd w:val="clear" w:color="auto" w:fill="auto"/>
            <w:vAlign w:val="center"/>
          </w:tcPr>
          <w:p>
            <w:pPr>
              <w:pStyle w:val="36"/>
            </w:pPr>
          </w:p>
        </w:tc>
        <w:tc>
          <w:tcPr>
            <w:tcW w:w="574" w:type="dxa"/>
            <w:vMerge w:val="continue"/>
            <w:shd w:val="clear" w:color="auto" w:fill="auto"/>
            <w:vAlign w:val="center"/>
          </w:tcPr>
          <w:p>
            <w:pPr>
              <w:pStyle w:val="36"/>
            </w:pPr>
          </w:p>
        </w:tc>
        <w:tc>
          <w:tcPr>
            <w:tcW w:w="2671" w:type="dxa"/>
            <w:vMerge w:val="continue"/>
            <w:shd w:val="clear" w:color="auto" w:fill="auto"/>
            <w:vAlign w:val="center"/>
          </w:tcPr>
          <w:p>
            <w:pPr>
              <w:pStyle w:val="36"/>
            </w:pPr>
          </w:p>
        </w:tc>
        <w:tc>
          <w:tcPr>
            <w:tcW w:w="1134" w:type="dxa"/>
            <w:vMerge w:val="continue"/>
            <w:shd w:val="clear" w:color="auto" w:fill="auto"/>
            <w:vAlign w:val="center"/>
          </w:tcPr>
          <w:p>
            <w:pPr>
              <w:pStyle w:val="36"/>
            </w:pPr>
          </w:p>
        </w:tc>
        <w:tc>
          <w:tcPr>
            <w:tcW w:w="1308" w:type="dxa"/>
            <w:vAlign w:val="center"/>
          </w:tcPr>
          <w:p>
            <w:pPr>
              <w:pStyle w:val="36"/>
            </w:pPr>
            <w:r>
              <w:t>2016</w:t>
            </w:r>
            <w:r>
              <w:rPr>
                <w:rFonts w:hint="eastAsia"/>
              </w:rPr>
              <w:t>-</w:t>
            </w:r>
            <w:r>
              <w:t>2017</w:t>
            </w:r>
          </w:p>
        </w:tc>
        <w:tc>
          <w:tcPr>
            <w:tcW w:w="1308" w:type="dxa"/>
            <w:vAlign w:val="center"/>
          </w:tcPr>
          <w:p>
            <w:pPr>
              <w:pStyle w:val="36"/>
            </w:pPr>
            <w:r>
              <w:t>2018</w:t>
            </w:r>
            <w:r>
              <w:rPr>
                <w:rFonts w:hint="eastAsia"/>
              </w:rPr>
              <w:t>-</w:t>
            </w:r>
            <w:r>
              <w:t>2020</w:t>
            </w:r>
          </w:p>
        </w:tc>
        <w:tc>
          <w:tcPr>
            <w:tcW w:w="1308" w:type="dxa"/>
            <w:vAlign w:val="center"/>
          </w:tcPr>
          <w:p>
            <w:pPr>
              <w:pStyle w:val="3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43" w:type="dxa"/>
            <w:shd w:val="clear" w:color="auto" w:fill="auto"/>
            <w:vAlign w:val="center"/>
          </w:tcPr>
          <w:p>
            <w:pPr>
              <w:pStyle w:val="36"/>
            </w:pPr>
            <w:r>
              <w:t>富平</w:t>
            </w:r>
          </w:p>
        </w:tc>
        <w:tc>
          <w:tcPr>
            <w:tcW w:w="574" w:type="dxa"/>
            <w:shd w:val="clear" w:color="auto" w:fill="auto"/>
            <w:vAlign w:val="center"/>
          </w:tcPr>
          <w:p>
            <w:pPr>
              <w:pStyle w:val="36"/>
            </w:pPr>
            <w:r>
              <w:t>1</w:t>
            </w:r>
          </w:p>
        </w:tc>
        <w:tc>
          <w:tcPr>
            <w:tcW w:w="2671" w:type="dxa"/>
            <w:shd w:val="clear" w:color="auto" w:fill="auto"/>
            <w:vAlign w:val="center"/>
          </w:tcPr>
          <w:p>
            <w:pPr>
              <w:pStyle w:val="36"/>
            </w:pPr>
            <w:r>
              <w:t>新天绿色陕西富平风电场</w:t>
            </w:r>
          </w:p>
        </w:tc>
        <w:tc>
          <w:tcPr>
            <w:tcW w:w="1134" w:type="dxa"/>
            <w:shd w:val="clear" w:color="auto" w:fill="auto"/>
            <w:vAlign w:val="center"/>
          </w:tcPr>
          <w:p>
            <w:pPr>
              <w:pStyle w:val="36"/>
            </w:pPr>
            <w:r>
              <w:t>200</w:t>
            </w:r>
          </w:p>
        </w:tc>
        <w:tc>
          <w:tcPr>
            <w:tcW w:w="1308" w:type="dxa"/>
            <w:vAlign w:val="center"/>
          </w:tcPr>
          <w:p>
            <w:pPr>
              <w:pStyle w:val="36"/>
            </w:pPr>
            <w:r>
              <w:t>—</w:t>
            </w:r>
          </w:p>
        </w:tc>
        <w:tc>
          <w:tcPr>
            <w:tcW w:w="1308" w:type="dxa"/>
            <w:vAlign w:val="center"/>
          </w:tcPr>
          <w:p>
            <w:pPr>
              <w:pStyle w:val="36"/>
            </w:pPr>
            <w:r>
              <w:t>200</w:t>
            </w:r>
          </w:p>
        </w:tc>
        <w:tc>
          <w:tcPr>
            <w:tcW w:w="1308" w:type="dxa"/>
            <w:vAlign w:val="center"/>
          </w:tcPr>
          <w:p>
            <w:pPr>
              <w:pStyle w:val="3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43" w:type="dxa"/>
            <w:vMerge w:val="restart"/>
            <w:shd w:val="clear" w:color="auto" w:fill="auto"/>
            <w:vAlign w:val="center"/>
          </w:tcPr>
          <w:p>
            <w:pPr>
              <w:pStyle w:val="36"/>
            </w:pPr>
            <w:r>
              <w:t>白水</w:t>
            </w:r>
          </w:p>
        </w:tc>
        <w:tc>
          <w:tcPr>
            <w:tcW w:w="574" w:type="dxa"/>
            <w:shd w:val="clear" w:color="auto" w:fill="auto"/>
            <w:vAlign w:val="center"/>
          </w:tcPr>
          <w:p>
            <w:pPr>
              <w:pStyle w:val="36"/>
            </w:pPr>
            <w:r>
              <w:t>2</w:t>
            </w:r>
          </w:p>
        </w:tc>
        <w:tc>
          <w:tcPr>
            <w:tcW w:w="2671" w:type="dxa"/>
            <w:shd w:val="clear" w:color="auto" w:fill="auto"/>
            <w:vAlign w:val="center"/>
          </w:tcPr>
          <w:p>
            <w:pPr>
              <w:pStyle w:val="36"/>
            </w:pPr>
            <w:r>
              <w:t>国华渭南白水方山风电场</w:t>
            </w:r>
          </w:p>
        </w:tc>
        <w:tc>
          <w:tcPr>
            <w:tcW w:w="1134" w:type="dxa"/>
            <w:shd w:val="clear" w:color="auto" w:fill="auto"/>
            <w:vAlign w:val="center"/>
          </w:tcPr>
          <w:p>
            <w:pPr>
              <w:pStyle w:val="36"/>
            </w:pPr>
            <w:r>
              <w:t>30</w:t>
            </w:r>
          </w:p>
        </w:tc>
        <w:tc>
          <w:tcPr>
            <w:tcW w:w="1308" w:type="dxa"/>
            <w:vAlign w:val="center"/>
          </w:tcPr>
          <w:p>
            <w:pPr>
              <w:pStyle w:val="36"/>
            </w:pPr>
            <w:r>
              <w:rPr>
                <w:rFonts w:hint="eastAsia"/>
              </w:rPr>
              <w:t>30</w:t>
            </w:r>
          </w:p>
        </w:tc>
        <w:tc>
          <w:tcPr>
            <w:tcW w:w="1308" w:type="dxa"/>
            <w:vAlign w:val="center"/>
          </w:tcPr>
          <w:p>
            <w:pPr>
              <w:pStyle w:val="36"/>
            </w:pPr>
            <w:r>
              <w:t>—</w:t>
            </w:r>
          </w:p>
        </w:tc>
        <w:tc>
          <w:tcPr>
            <w:tcW w:w="1308" w:type="dxa"/>
            <w:vAlign w:val="center"/>
          </w:tcPr>
          <w:p>
            <w:pPr>
              <w:pStyle w:val="36"/>
            </w:pPr>
            <w:r>
              <w:rPr>
                <w:rFonts w:hint="eastAsia"/>
              </w:rPr>
              <w:t>已</w:t>
            </w:r>
            <w:r>
              <w:t>备案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43" w:type="dxa"/>
            <w:vMerge w:val="continue"/>
            <w:shd w:val="clear" w:color="auto" w:fill="auto"/>
            <w:vAlign w:val="center"/>
          </w:tcPr>
          <w:p>
            <w:pPr>
              <w:pStyle w:val="36"/>
            </w:pPr>
          </w:p>
        </w:tc>
        <w:tc>
          <w:tcPr>
            <w:tcW w:w="574" w:type="dxa"/>
            <w:shd w:val="clear" w:color="auto" w:fill="auto"/>
            <w:vAlign w:val="center"/>
          </w:tcPr>
          <w:p>
            <w:pPr>
              <w:pStyle w:val="36"/>
            </w:pPr>
            <w:r>
              <w:t>3</w:t>
            </w:r>
          </w:p>
        </w:tc>
        <w:tc>
          <w:tcPr>
            <w:tcW w:w="2671" w:type="dxa"/>
            <w:shd w:val="clear" w:color="auto" w:fill="auto"/>
            <w:vAlign w:val="center"/>
          </w:tcPr>
          <w:p>
            <w:pPr>
              <w:pStyle w:val="36"/>
            </w:pPr>
            <w:r>
              <w:t>渭南白水纵目风电场</w:t>
            </w:r>
          </w:p>
        </w:tc>
        <w:tc>
          <w:tcPr>
            <w:tcW w:w="1134" w:type="dxa"/>
            <w:shd w:val="clear" w:color="auto" w:fill="auto"/>
            <w:vAlign w:val="center"/>
          </w:tcPr>
          <w:p>
            <w:pPr>
              <w:pStyle w:val="36"/>
            </w:pPr>
            <w:r>
              <w:t>100</w:t>
            </w:r>
          </w:p>
        </w:tc>
        <w:tc>
          <w:tcPr>
            <w:tcW w:w="1308" w:type="dxa"/>
            <w:vAlign w:val="center"/>
          </w:tcPr>
          <w:p>
            <w:pPr>
              <w:pStyle w:val="36"/>
            </w:pPr>
            <w:r>
              <w:t>—</w:t>
            </w:r>
          </w:p>
        </w:tc>
        <w:tc>
          <w:tcPr>
            <w:tcW w:w="1308" w:type="dxa"/>
            <w:vAlign w:val="center"/>
          </w:tcPr>
          <w:p>
            <w:pPr>
              <w:pStyle w:val="36"/>
            </w:pPr>
            <w:r>
              <w:t>100</w:t>
            </w:r>
          </w:p>
        </w:tc>
        <w:tc>
          <w:tcPr>
            <w:tcW w:w="1308" w:type="dxa"/>
            <w:vAlign w:val="center"/>
          </w:tcPr>
          <w:p>
            <w:pPr>
              <w:pStyle w:val="3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43" w:type="dxa"/>
            <w:shd w:val="clear" w:color="auto" w:fill="auto"/>
            <w:vAlign w:val="center"/>
          </w:tcPr>
          <w:p>
            <w:pPr>
              <w:pStyle w:val="36"/>
            </w:pPr>
            <w:r>
              <w:t>澄城</w:t>
            </w:r>
          </w:p>
        </w:tc>
        <w:tc>
          <w:tcPr>
            <w:tcW w:w="574" w:type="dxa"/>
            <w:shd w:val="clear" w:color="auto" w:fill="auto"/>
            <w:vAlign w:val="center"/>
          </w:tcPr>
          <w:p>
            <w:pPr>
              <w:pStyle w:val="36"/>
            </w:pPr>
            <w:r>
              <w:t>4</w:t>
            </w:r>
          </w:p>
        </w:tc>
        <w:tc>
          <w:tcPr>
            <w:tcW w:w="2671" w:type="dxa"/>
            <w:shd w:val="clear" w:color="auto" w:fill="auto"/>
            <w:vAlign w:val="center"/>
          </w:tcPr>
          <w:p>
            <w:pPr>
              <w:pStyle w:val="36"/>
            </w:pPr>
            <w:r>
              <w:t>渭南市澄城县赵庄风电场</w:t>
            </w:r>
          </w:p>
        </w:tc>
        <w:tc>
          <w:tcPr>
            <w:tcW w:w="1134" w:type="dxa"/>
            <w:shd w:val="clear" w:color="auto" w:fill="auto"/>
            <w:vAlign w:val="center"/>
          </w:tcPr>
          <w:p>
            <w:pPr>
              <w:pStyle w:val="36"/>
            </w:pPr>
            <w:r>
              <w:t>50</w:t>
            </w:r>
          </w:p>
        </w:tc>
        <w:tc>
          <w:tcPr>
            <w:tcW w:w="1308" w:type="dxa"/>
            <w:vAlign w:val="center"/>
          </w:tcPr>
          <w:p>
            <w:pPr>
              <w:pStyle w:val="36"/>
            </w:pPr>
            <w:r>
              <w:t>—</w:t>
            </w:r>
          </w:p>
        </w:tc>
        <w:tc>
          <w:tcPr>
            <w:tcW w:w="1308" w:type="dxa"/>
            <w:vAlign w:val="center"/>
          </w:tcPr>
          <w:p>
            <w:pPr>
              <w:pStyle w:val="36"/>
            </w:pPr>
            <w:r>
              <w:t>50</w:t>
            </w:r>
          </w:p>
        </w:tc>
        <w:tc>
          <w:tcPr>
            <w:tcW w:w="1308" w:type="dxa"/>
            <w:vAlign w:val="center"/>
          </w:tcPr>
          <w:p>
            <w:pPr>
              <w:pStyle w:val="3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43" w:type="dxa"/>
            <w:vMerge w:val="restart"/>
            <w:shd w:val="clear" w:color="auto" w:fill="auto"/>
            <w:vAlign w:val="center"/>
          </w:tcPr>
          <w:p>
            <w:pPr>
              <w:pStyle w:val="36"/>
            </w:pPr>
            <w:r>
              <w:t>合阳</w:t>
            </w:r>
          </w:p>
        </w:tc>
        <w:tc>
          <w:tcPr>
            <w:tcW w:w="574" w:type="dxa"/>
            <w:shd w:val="clear" w:color="auto" w:fill="auto"/>
            <w:vAlign w:val="center"/>
          </w:tcPr>
          <w:p>
            <w:pPr>
              <w:pStyle w:val="36"/>
            </w:pPr>
            <w:r>
              <w:t>5</w:t>
            </w:r>
          </w:p>
        </w:tc>
        <w:tc>
          <w:tcPr>
            <w:tcW w:w="2671" w:type="dxa"/>
            <w:shd w:val="clear" w:color="auto" w:fill="auto"/>
            <w:vAlign w:val="center"/>
          </w:tcPr>
          <w:p>
            <w:pPr>
              <w:pStyle w:val="36"/>
            </w:pPr>
            <w:r>
              <w:t>渭南天润合阳黑池坊风电项目</w:t>
            </w:r>
          </w:p>
        </w:tc>
        <w:tc>
          <w:tcPr>
            <w:tcW w:w="1134" w:type="dxa"/>
            <w:shd w:val="clear" w:color="auto" w:fill="auto"/>
            <w:vAlign w:val="center"/>
          </w:tcPr>
          <w:p>
            <w:pPr>
              <w:pStyle w:val="36"/>
            </w:pPr>
            <w:r>
              <w:t>50</w:t>
            </w:r>
          </w:p>
        </w:tc>
        <w:tc>
          <w:tcPr>
            <w:tcW w:w="1308" w:type="dxa"/>
            <w:vAlign w:val="center"/>
          </w:tcPr>
          <w:p>
            <w:pPr>
              <w:pStyle w:val="36"/>
            </w:pPr>
            <w:r>
              <w:rPr>
                <w:rFonts w:hint="eastAsia"/>
              </w:rPr>
              <w:t>50</w:t>
            </w:r>
          </w:p>
        </w:tc>
        <w:tc>
          <w:tcPr>
            <w:tcW w:w="1308" w:type="dxa"/>
            <w:vAlign w:val="center"/>
          </w:tcPr>
          <w:p>
            <w:pPr>
              <w:pStyle w:val="36"/>
            </w:pPr>
            <w:r>
              <w:t>—</w:t>
            </w:r>
          </w:p>
        </w:tc>
        <w:tc>
          <w:tcPr>
            <w:tcW w:w="1308" w:type="dxa"/>
            <w:vAlign w:val="center"/>
          </w:tcPr>
          <w:p>
            <w:pPr>
              <w:pStyle w:val="36"/>
            </w:pPr>
            <w:r>
              <w:rPr>
                <w:rFonts w:hint="eastAsia"/>
              </w:rPr>
              <w:t>已</w:t>
            </w:r>
            <w:r>
              <w:t>备案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43" w:type="dxa"/>
            <w:vMerge w:val="continue"/>
            <w:shd w:val="clear" w:color="auto" w:fill="auto"/>
            <w:vAlign w:val="center"/>
          </w:tcPr>
          <w:p>
            <w:pPr>
              <w:pStyle w:val="36"/>
            </w:pPr>
          </w:p>
        </w:tc>
        <w:tc>
          <w:tcPr>
            <w:tcW w:w="574" w:type="dxa"/>
            <w:shd w:val="clear" w:color="auto" w:fill="auto"/>
            <w:vAlign w:val="center"/>
          </w:tcPr>
          <w:p>
            <w:pPr>
              <w:pStyle w:val="36"/>
            </w:pPr>
            <w:r>
              <w:t>6</w:t>
            </w:r>
          </w:p>
        </w:tc>
        <w:tc>
          <w:tcPr>
            <w:tcW w:w="2671" w:type="dxa"/>
            <w:shd w:val="clear" w:color="auto" w:fill="auto"/>
            <w:vAlign w:val="center"/>
          </w:tcPr>
          <w:p>
            <w:pPr>
              <w:pStyle w:val="36"/>
            </w:pPr>
            <w:r>
              <w:t>渭南市合阳洽川镇风电场</w:t>
            </w:r>
          </w:p>
        </w:tc>
        <w:tc>
          <w:tcPr>
            <w:tcW w:w="1134" w:type="dxa"/>
            <w:shd w:val="clear" w:color="auto" w:fill="auto"/>
            <w:vAlign w:val="center"/>
          </w:tcPr>
          <w:p>
            <w:pPr>
              <w:pStyle w:val="36"/>
            </w:pPr>
            <w:r>
              <w:t>50</w:t>
            </w:r>
          </w:p>
        </w:tc>
        <w:tc>
          <w:tcPr>
            <w:tcW w:w="1308" w:type="dxa"/>
            <w:vAlign w:val="center"/>
          </w:tcPr>
          <w:p>
            <w:pPr>
              <w:pStyle w:val="36"/>
            </w:pPr>
            <w:r>
              <w:t>—</w:t>
            </w:r>
          </w:p>
        </w:tc>
        <w:tc>
          <w:tcPr>
            <w:tcW w:w="1308" w:type="dxa"/>
            <w:vAlign w:val="center"/>
          </w:tcPr>
          <w:p>
            <w:pPr>
              <w:pStyle w:val="36"/>
            </w:pPr>
            <w:r>
              <w:t>50</w:t>
            </w:r>
          </w:p>
        </w:tc>
        <w:tc>
          <w:tcPr>
            <w:tcW w:w="1308" w:type="dxa"/>
            <w:vAlign w:val="center"/>
          </w:tcPr>
          <w:p>
            <w:pPr>
              <w:pStyle w:val="3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43" w:type="dxa"/>
            <w:vMerge w:val="continue"/>
            <w:shd w:val="clear" w:color="auto" w:fill="auto"/>
            <w:vAlign w:val="center"/>
          </w:tcPr>
          <w:p>
            <w:pPr>
              <w:pStyle w:val="36"/>
            </w:pPr>
          </w:p>
        </w:tc>
        <w:tc>
          <w:tcPr>
            <w:tcW w:w="574" w:type="dxa"/>
            <w:shd w:val="clear" w:color="auto" w:fill="auto"/>
            <w:vAlign w:val="center"/>
          </w:tcPr>
          <w:p>
            <w:pPr>
              <w:pStyle w:val="36"/>
            </w:pPr>
            <w:r>
              <w:t>7</w:t>
            </w:r>
          </w:p>
        </w:tc>
        <w:tc>
          <w:tcPr>
            <w:tcW w:w="2671" w:type="dxa"/>
            <w:shd w:val="clear" w:color="auto" w:fill="auto"/>
            <w:vAlign w:val="center"/>
          </w:tcPr>
          <w:p>
            <w:pPr>
              <w:pStyle w:val="36"/>
            </w:pPr>
            <w:r>
              <w:t>渭南市合阳和家庄风电场</w:t>
            </w:r>
          </w:p>
        </w:tc>
        <w:tc>
          <w:tcPr>
            <w:tcW w:w="1134" w:type="dxa"/>
            <w:shd w:val="clear" w:color="auto" w:fill="auto"/>
            <w:vAlign w:val="center"/>
          </w:tcPr>
          <w:p>
            <w:pPr>
              <w:pStyle w:val="36"/>
            </w:pPr>
            <w:r>
              <w:t>100</w:t>
            </w:r>
          </w:p>
        </w:tc>
        <w:tc>
          <w:tcPr>
            <w:tcW w:w="1308" w:type="dxa"/>
            <w:vAlign w:val="center"/>
          </w:tcPr>
          <w:p>
            <w:pPr>
              <w:pStyle w:val="36"/>
            </w:pPr>
            <w:r>
              <w:t>—</w:t>
            </w:r>
          </w:p>
        </w:tc>
        <w:tc>
          <w:tcPr>
            <w:tcW w:w="1308" w:type="dxa"/>
            <w:vAlign w:val="center"/>
          </w:tcPr>
          <w:p>
            <w:pPr>
              <w:pStyle w:val="36"/>
            </w:pPr>
            <w:r>
              <w:t>100</w:t>
            </w:r>
          </w:p>
        </w:tc>
        <w:tc>
          <w:tcPr>
            <w:tcW w:w="1308" w:type="dxa"/>
            <w:vAlign w:val="center"/>
          </w:tcPr>
          <w:p>
            <w:pPr>
              <w:pStyle w:val="3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43" w:type="dxa"/>
            <w:vMerge w:val="continue"/>
            <w:shd w:val="clear" w:color="auto" w:fill="auto"/>
            <w:vAlign w:val="center"/>
          </w:tcPr>
          <w:p>
            <w:pPr>
              <w:pStyle w:val="36"/>
            </w:pPr>
          </w:p>
        </w:tc>
        <w:tc>
          <w:tcPr>
            <w:tcW w:w="574" w:type="dxa"/>
            <w:shd w:val="clear" w:color="auto" w:fill="auto"/>
            <w:vAlign w:val="center"/>
          </w:tcPr>
          <w:p>
            <w:pPr>
              <w:pStyle w:val="36"/>
            </w:pPr>
            <w:r>
              <w:t>8</w:t>
            </w:r>
          </w:p>
        </w:tc>
        <w:tc>
          <w:tcPr>
            <w:tcW w:w="2671" w:type="dxa"/>
            <w:shd w:val="clear" w:color="auto" w:fill="auto"/>
            <w:vAlign w:val="center"/>
          </w:tcPr>
          <w:p>
            <w:pPr>
              <w:pStyle w:val="36"/>
            </w:pPr>
            <w:r>
              <w:t>渭南市合阳甘井镇风电场</w:t>
            </w:r>
          </w:p>
        </w:tc>
        <w:tc>
          <w:tcPr>
            <w:tcW w:w="1134" w:type="dxa"/>
            <w:shd w:val="clear" w:color="auto" w:fill="auto"/>
            <w:vAlign w:val="center"/>
          </w:tcPr>
          <w:p>
            <w:pPr>
              <w:pStyle w:val="36"/>
            </w:pPr>
            <w:r>
              <w:t>50</w:t>
            </w:r>
          </w:p>
        </w:tc>
        <w:tc>
          <w:tcPr>
            <w:tcW w:w="1308" w:type="dxa"/>
            <w:vAlign w:val="center"/>
          </w:tcPr>
          <w:p>
            <w:pPr>
              <w:pStyle w:val="36"/>
            </w:pPr>
            <w:r>
              <w:t>—</w:t>
            </w:r>
          </w:p>
        </w:tc>
        <w:tc>
          <w:tcPr>
            <w:tcW w:w="1308" w:type="dxa"/>
            <w:vAlign w:val="center"/>
          </w:tcPr>
          <w:p>
            <w:pPr>
              <w:pStyle w:val="36"/>
            </w:pPr>
            <w:r>
              <w:t>50</w:t>
            </w:r>
          </w:p>
        </w:tc>
        <w:tc>
          <w:tcPr>
            <w:tcW w:w="1308" w:type="dxa"/>
            <w:vAlign w:val="center"/>
          </w:tcPr>
          <w:p>
            <w:pPr>
              <w:pStyle w:val="3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43" w:type="dxa"/>
            <w:vMerge w:val="restart"/>
            <w:shd w:val="clear" w:color="auto" w:fill="auto"/>
            <w:vAlign w:val="center"/>
          </w:tcPr>
          <w:p>
            <w:pPr>
              <w:pStyle w:val="36"/>
            </w:pPr>
            <w:r>
              <w:t>大荔</w:t>
            </w:r>
          </w:p>
        </w:tc>
        <w:tc>
          <w:tcPr>
            <w:tcW w:w="574" w:type="dxa"/>
            <w:shd w:val="clear" w:color="auto" w:fill="auto"/>
            <w:vAlign w:val="center"/>
          </w:tcPr>
          <w:p>
            <w:pPr>
              <w:pStyle w:val="36"/>
            </w:pPr>
            <w:r>
              <w:t>9</w:t>
            </w:r>
          </w:p>
        </w:tc>
        <w:tc>
          <w:tcPr>
            <w:tcW w:w="2671" w:type="dxa"/>
            <w:shd w:val="clear" w:color="auto" w:fill="auto"/>
            <w:vAlign w:val="center"/>
          </w:tcPr>
          <w:p>
            <w:pPr>
              <w:pStyle w:val="36"/>
            </w:pPr>
            <w:r>
              <w:t>渭南大荔县双泉风电场</w:t>
            </w:r>
          </w:p>
        </w:tc>
        <w:tc>
          <w:tcPr>
            <w:tcW w:w="1134" w:type="dxa"/>
            <w:shd w:val="clear" w:color="auto" w:fill="auto"/>
            <w:vAlign w:val="center"/>
          </w:tcPr>
          <w:p>
            <w:pPr>
              <w:pStyle w:val="36"/>
            </w:pPr>
            <w:r>
              <w:t>100</w:t>
            </w:r>
          </w:p>
        </w:tc>
        <w:tc>
          <w:tcPr>
            <w:tcW w:w="1308" w:type="dxa"/>
            <w:vAlign w:val="center"/>
          </w:tcPr>
          <w:p>
            <w:pPr>
              <w:pStyle w:val="36"/>
            </w:pPr>
            <w:r>
              <w:t>—</w:t>
            </w:r>
          </w:p>
        </w:tc>
        <w:tc>
          <w:tcPr>
            <w:tcW w:w="1308" w:type="dxa"/>
            <w:vAlign w:val="center"/>
          </w:tcPr>
          <w:p>
            <w:pPr>
              <w:pStyle w:val="36"/>
            </w:pPr>
            <w:r>
              <w:t>100</w:t>
            </w:r>
          </w:p>
        </w:tc>
        <w:tc>
          <w:tcPr>
            <w:tcW w:w="1308" w:type="dxa"/>
            <w:vAlign w:val="center"/>
          </w:tcPr>
          <w:p>
            <w:pPr>
              <w:pStyle w:val="3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43" w:type="dxa"/>
            <w:vMerge w:val="continue"/>
            <w:shd w:val="clear" w:color="auto" w:fill="auto"/>
            <w:vAlign w:val="center"/>
          </w:tcPr>
          <w:p>
            <w:pPr>
              <w:pStyle w:val="36"/>
            </w:pPr>
          </w:p>
        </w:tc>
        <w:tc>
          <w:tcPr>
            <w:tcW w:w="574" w:type="dxa"/>
            <w:shd w:val="clear" w:color="auto" w:fill="auto"/>
            <w:vAlign w:val="center"/>
          </w:tcPr>
          <w:p>
            <w:pPr>
              <w:pStyle w:val="36"/>
            </w:pPr>
            <w:r>
              <w:t>10</w:t>
            </w:r>
          </w:p>
        </w:tc>
        <w:tc>
          <w:tcPr>
            <w:tcW w:w="2671" w:type="dxa"/>
            <w:shd w:val="clear" w:color="auto" w:fill="auto"/>
            <w:vAlign w:val="center"/>
          </w:tcPr>
          <w:p>
            <w:pPr>
              <w:pStyle w:val="36"/>
            </w:pPr>
            <w:r>
              <w:t>渭南大荔县官池风电场</w:t>
            </w:r>
          </w:p>
        </w:tc>
        <w:tc>
          <w:tcPr>
            <w:tcW w:w="1134" w:type="dxa"/>
            <w:shd w:val="clear" w:color="auto" w:fill="auto"/>
            <w:vAlign w:val="center"/>
          </w:tcPr>
          <w:p>
            <w:pPr>
              <w:pStyle w:val="36"/>
            </w:pPr>
            <w:r>
              <w:t>50</w:t>
            </w:r>
          </w:p>
        </w:tc>
        <w:tc>
          <w:tcPr>
            <w:tcW w:w="1308" w:type="dxa"/>
            <w:vAlign w:val="center"/>
          </w:tcPr>
          <w:p>
            <w:pPr>
              <w:pStyle w:val="36"/>
            </w:pPr>
            <w:r>
              <w:t>—</w:t>
            </w:r>
          </w:p>
        </w:tc>
        <w:tc>
          <w:tcPr>
            <w:tcW w:w="1308" w:type="dxa"/>
            <w:vAlign w:val="center"/>
          </w:tcPr>
          <w:p>
            <w:pPr>
              <w:pStyle w:val="36"/>
            </w:pPr>
            <w:r>
              <w:t>50</w:t>
            </w:r>
          </w:p>
        </w:tc>
        <w:tc>
          <w:tcPr>
            <w:tcW w:w="1308" w:type="dxa"/>
            <w:vAlign w:val="center"/>
          </w:tcPr>
          <w:p>
            <w:pPr>
              <w:pStyle w:val="3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43" w:type="dxa"/>
            <w:vMerge w:val="restart"/>
            <w:shd w:val="clear" w:color="auto" w:fill="auto"/>
            <w:vAlign w:val="center"/>
          </w:tcPr>
          <w:p>
            <w:pPr>
              <w:pStyle w:val="36"/>
            </w:pPr>
            <w:r>
              <w:t>潼关</w:t>
            </w:r>
          </w:p>
        </w:tc>
        <w:tc>
          <w:tcPr>
            <w:tcW w:w="574" w:type="dxa"/>
            <w:shd w:val="clear" w:color="auto" w:fill="auto"/>
            <w:vAlign w:val="center"/>
          </w:tcPr>
          <w:p>
            <w:pPr>
              <w:pStyle w:val="36"/>
            </w:pPr>
            <w:r>
              <w:t>11</w:t>
            </w:r>
          </w:p>
        </w:tc>
        <w:tc>
          <w:tcPr>
            <w:tcW w:w="2671" w:type="dxa"/>
            <w:shd w:val="clear" w:color="auto" w:fill="auto"/>
            <w:vAlign w:val="center"/>
          </w:tcPr>
          <w:p>
            <w:pPr>
              <w:pStyle w:val="36"/>
            </w:pPr>
            <w:r>
              <w:t>中广核渭南潼关港口50MW风电场工程</w:t>
            </w:r>
          </w:p>
        </w:tc>
        <w:tc>
          <w:tcPr>
            <w:tcW w:w="1134" w:type="dxa"/>
            <w:shd w:val="clear" w:color="auto" w:fill="auto"/>
            <w:vAlign w:val="center"/>
          </w:tcPr>
          <w:p>
            <w:pPr>
              <w:pStyle w:val="36"/>
            </w:pPr>
            <w:r>
              <w:t>50</w:t>
            </w:r>
          </w:p>
        </w:tc>
        <w:tc>
          <w:tcPr>
            <w:tcW w:w="1308" w:type="dxa"/>
            <w:vAlign w:val="center"/>
          </w:tcPr>
          <w:p>
            <w:pPr>
              <w:pStyle w:val="36"/>
            </w:pPr>
            <w:r>
              <w:rPr>
                <w:rFonts w:hint="eastAsia"/>
              </w:rPr>
              <w:t>50</w:t>
            </w:r>
          </w:p>
        </w:tc>
        <w:tc>
          <w:tcPr>
            <w:tcW w:w="1308" w:type="dxa"/>
            <w:vAlign w:val="center"/>
          </w:tcPr>
          <w:p>
            <w:pPr>
              <w:pStyle w:val="36"/>
            </w:pPr>
            <w:r>
              <w:t>—</w:t>
            </w:r>
          </w:p>
        </w:tc>
        <w:tc>
          <w:tcPr>
            <w:tcW w:w="1308" w:type="dxa"/>
            <w:vAlign w:val="center"/>
          </w:tcPr>
          <w:p>
            <w:pPr>
              <w:pStyle w:val="36"/>
            </w:pPr>
            <w:r>
              <w:rPr>
                <w:rFonts w:hint="eastAsia"/>
              </w:rPr>
              <w:t>已</w:t>
            </w:r>
            <w:r>
              <w:t>备案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43" w:type="dxa"/>
            <w:vMerge w:val="continue"/>
            <w:shd w:val="clear" w:color="auto" w:fill="auto"/>
            <w:vAlign w:val="center"/>
          </w:tcPr>
          <w:p>
            <w:pPr>
              <w:pStyle w:val="36"/>
            </w:pPr>
          </w:p>
        </w:tc>
        <w:tc>
          <w:tcPr>
            <w:tcW w:w="574" w:type="dxa"/>
            <w:shd w:val="clear" w:color="auto" w:fill="auto"/>
            <w:vAlign w:val="center"/>
          </w:tcPr>
          <w:p>
            <w:pPr>
              <w:pStyle w:val="36"/>
            </w:pPr>
            <w:r>
              <w:t>12</w:t>
            </w:r>
          </w:p>
        </w:tc>
        <w:tc>
          <w:tcPr>
            <w:tcW w:w="2671" w:type="dxa"/>
            <w:shd w:val="clear" w:color="auto" w:fill="auto"/>
            <w:vAlign w:val="center"/>
          </w:tcPr>
          <w:p>
            <w:pPr>
              <w:pStyle w:val="36"/>
            </w:pPr>
            <w:r>
              <w:t>华润渭南潼关港口风电场</w:t>
            </w:r>
          </w:p>
        </w:tc>
        <w:tc>
          <w:tcPr>
            <w:tcW w:w="1134" w:type="dxa"/>
            <w:shd w:val="clear" w:color="auto" w:fill="auto"/>
            <w:vAlign w:val="center"/>
          </w:tcPr>
          <w:p>
            <w:pPr>
              <w:pStyle w:val="36"/>
            </w:pPr>
            <w:r>
              <w:t>50</w:t>
            </w:r>
          </w:p>
        </w:tc>
        <w:tc>
          <w:tcPr>
            <w:tcW w:w="1308" w:type="dxa"/>
            <w:vAlign w:val="center"/>
          </w:tcPr>
          <w:p>
            <w:pPr>
              <w:pStyle w:val="36"/>
            </w:pPr>
            <w:r>
              <w:rPr>
                <w:rFonts w:hint="eastAsia"/>
              </w:rPr>
              <w:t>50</w:t>
            </w:r>
          </w:p>
        </w:tc>
        <w:tc>
          <w:tcPr>
            <w:tcW w:w="1308" w:type="dxa"/>
            <w:vAlign w:val="center"/>
          </w:tcPr>
          <w:p>
            <w:pPr>
              <w:pStyle w:val="36"/>
            </w:pPr>
            <w:r>
              <w:t>—</w:t>
            </w:r>
          </w:p>
        </w:tc>
        <w:tc>
          <w:tcPr>
            <w:tcW w:w="1308" w:type="dxa"/>
            <w:vAlign w:val="center"/>
          </w:tcPr>
          <w:p>
            <w:pPr>
              <w:pStyle w:val="36"/>
            </w:pPr>
            <w:r>
              <w:rPr>
                <w:rFonts w:hint="eastAsia"/>
              </w:rPr>
              <w:t>已</w:t>
            </w:r>
            <w:r>
              <w:t>备案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43" w:type="dxa"/>
            <w:shd w:val="clear" w:color="auto" w:fill="auto"/>
            <w:vAlign w:val="center"/>
          </w:tcPr>
          <w:p>
            <w:pPr>
              <w:pStyle w:val="36"/>
            </w:pPr>
            <w:r>
              <w:t>韩城</w:t>
            </w:r>
          </w:p>
        </w:tc>
        <w:tc>
          <w:tcPr>
            <w:tcW w:w="574" w:type="dxa"/>
            <w:shd w:val="clear" w:color="auto" w:fill="auto"/>
            <w:vAlign w:val="center"/>
          </w:tcPr>
          <w:p>
            <w:pPr>
              <w:pStyle w:val="36"/>
            </w:pPr>
            <w:r>
              <w:t>13</w:t>
            </w:r>
          </w:p>
        </w:tc>
        <w:tc>
          <w:tcPr>
            <w:tcW w:w="2671" w:type="dxa"/>
            <w:shd w:val="clear" w:color="auto" w:fill="auto"/>
            <w:vAlign w:val="center"/>
          </w:tcPr>
          <w:p>
            <w:pPr>
              <w:pStyle w:val="36"/>
            </w:pPr>
            <w:r>
              <w:t>国电陕西韩城市桑树坪风电场</w:t>
            </w:r>
          </w:p>
        </w:tc>
        <w:tc>
          <w:tcPr>
            <w:tcW w:w="1134" w:type="dxa"/>
            <w:shd w:val="clear" w:color="auto" w:fill="auto"/>
            <w:vAlign w:val="center"/>
          </w:tcPr>
          <w:p>
            <w:pPr>
              <w:pStyle w:val="36"/>
            </w:pPr>
            <w:r>
              <w:t>150</w:t>
            </w:r>
          </w:p>
        </w:tc>
        <w:tc>
          <w:tcPr>
            <w:tcW w:w="1308" w:type="dxa"/>
            <w:vAlign w:val="center"/>
          </w:tcPr>
          <w:p>
            <w:pPr>
              <w:pStyle w:val="36"/>
            </w:pPr>
            <w:r>
              <w:t>—</w:t>
            </w:r>
          </w:p>
        </w:tc>
        <w:tc>
          <w:tcPr>
            <w:tcW w:w="1308" w:type="dxa"/>
            <w:vAlign w:val="center"/>
          </w:tcPr>
          <w:p>
            <w:pPr>
              <w:pStyle w:val="36"/>
            </w:pPr>
            <w:r>
              <w:t>150</w:t>
            </w:r>
          </w:p>
        </w:tc>
        <w:tc>
          <w:tcPr>
            <w:tcW w:w="1308" w:type="dxa"/>
            <w:vAlign w:val="center"/>
          </w:tcPr>
          <w:p>
            <w:pPr>
              <w:pStyle w:val="3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43" w:type="dxa"/>
            <w:shd w:val="clear" w:color="auto" w:fill="auto"/>
            <w:vAlign w:val="center"/>
          </w:tcPr>
          <w:p>
            <w:pPr>
              <w:pStyle w:val="36"/>
            </w:pPr>
            <w:r>
              <w:rPr>
                <w:rFonts w:hint="eastAsia"/>
              </w:rPr>
              <w:t>合计</w:t>
            </w:r>
          </w:p>
        </w:tc>
        <w:tc>
          <w:tcPr>
            <w:tcW w:w="574" w:type="dxa"/>
            <w:shd w:val="clear" w:color="auto" w:fill="auto"/>
            <w:vAlign w:val="center"/>
          </w:tcPr>
          <w:p>
            <w:pPr>
              <w:pStyle w:val="36"/>
            </w:pPr>
          </w:p>
        </w:tc>
        <w:tc>
          <w:tcPr>
            <w:tcW w:w="2671" w:type="dxa"/>
            <w:shd w:val="clear" w:color="auto" w:fill="auto"/>
            <w:vAlign w:val="center"/>
          </w:tcPr>
          <w:p>
            <w:pPr>
              <w:pStyle w:val="36"/>
            </w:pPr>
          </w:p>
        </w:tc>
        <w:tc>
          <w:tcPr>
            <w:tcW w:w="1134" w:type="dxa"/>
            <w:shd w:val="clear" w:color="auto" w:fill="auto"/>
            <w:vAlign w:val="center"/>
          </w:tcPr>
          <w:p>
            <w:pPr>
              <w:pStyle w:val="36"/>
            </w:pPr>
            <w:r>
              <w:rPr>
                <w:rFonts w:hint="eastAsia"/>
              </w:rPr>
              <w:t>10</w:t>
            </w:r>
            <w:r>
              <w:t>30</w:t>
            </w:r>
          </w:p>
        </w:tc>
        <w:tc>
          <w:tcPr>
            <w:tcW w:w="1308" w:type="dxa"/>
            <w:vAlign w:val="center"/>
          </w:tcPr>
          <w:p>
            <w:pPr>
              <w:pStyle w:val="36"/>
            </w:pPr>
            <w:r>
              <w:rPr>
                <w:rFonts w:hint="eastAsia"/>
              </w:rPr>
              <w:t>180</w:t>
            </w:r>
          </w:p>
        </w:tc>
        <w:tc>
          <w:tcPr>
            <w:tcW w:w="1308" w:type="dxa"/>
            <w:vAlign w:val="center"/>
          </w:tcPr>
          <w:p>
            <w:pPr>
              <w:pStyle w:val="36"/>
            </w:pPr>
            <w:r>
              <w:rPr>
                <w:rFonts w:hint="eastAsia"/>
              </w:rPr>
              <w:t>850</w:t>
            </w:r>
          </w:p>
        </w:tc>
        <w:tc>
          <w:tcPr>
            <w:tcW w:w="1308" w:type="dxa"/>
            <w:vAlign w:val="center"/>
          </w:tcPr>
          <w:p>
            <w:pPr>
              <w:pStyle w:val="36"/>
            </w:pPr>
          </w:p>
        </w:tc>
      </w:tr>
      <w:bookmarkEnd w:id="126"/>
      <w:bookmarkEnd w:id="127"/>
    </w:tbl>
    <w:p>
      <w:pPr>
        <w:pStyle w:val="128"/>
      </w:pPr>
    </w:p>
    <w:p>
      <w:pPr>
        <w:pStyle w:val="129"/>
      </w:pPr>
      <w:r>
        <w:pict>
          <v:group id="组合 235" o:spid="_x0000_s1066" o:spt="203" style="position:absolute;left:0pt;margin-left:71.3pt;margin-top:25.35pt;height:348.5pt;width:343.05pt;z-index:251659264;mso-width-relative:margin;mso-height-relative:margin;" coordorigin="4681,585" coordsize="43564,44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">
            <o:lock v:ext="edit"/>
            <v:shape id="文本框 230" o:spid="_x0000_s1067" o:spt="202" type="#_x0000_t202" style="position:absolute;left:4681;top:27503;height:7777;width:13570;"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">
              <v:path/>
              <v:fill opacity="0f" focussize="0,0"/>
              <v:stroke on="f" joinstyle="miter"/>
              <v:imagedata o:title=""/>
              <o:lock v:ext="edit"/>
              <v:textbox>
                <w:txbxContent>
                  <w:p>
                    <w:pPr>
                      <w:spacing w:line="240" w:lineRule="auto"/>
                      <w:jc w:val="center"/>
                      <w:rPr>
                        <w:b/>
                        <w:color w:val="FFFFFF" w:themeColor="background1"/>
                        <w:sz w:val="21"/>
                        <w:szCs w:val="21"/>
                      </w:rPr>
                    </w:pPr>
                    <w:r>
                      <w:rPr>
                        <w:rFonts w:hint="eastAsia"/>
                        <w:b/>
                        <w:color w:val="FFFFFF" w:themeColor="background1"/>
                        <w:sz w:val="21"/>
                        <w:szCs w:val="21"/>
                      </w:rPr>
                      <w:t>新天绿色陕西富平风电场（200MW）</w:t>
                    </w:r>
                  </w:p>
                </w:txbxContent>
              </v:textbox>
            </v:shape>
            <v:shape id="文本框 229" o:spid="_x0000_s1068" o:spt="202" type="#_x0000_t202" style="position:absolute;left:22820;top:37378;height:7464;width:13570;"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">
              <v:path/>
              <v:fill opacity="0f" focussize="0,0"/>
              <v:stroke on="f" joinstyle="miter"/>
              <v:imagedata o:title=""/>
              <o:lock v:ext="edit"/>
              <v:textbox>
                <w:txbxContent>
                  <w:p>
                    <w:pPr>
                      <w:spacing w:line="240" w:lineRule="auto"/>
                      <w:jc w:val="center"/>
                      <w:rPr>
                        <w:b/>
                        <w:color w:val="FFFFFF" w:themeColor="background1"/>
                        <w:sz w:val="21"/>
                        <w:szCs w:val="21"/>
                      </w:rPr>
                    </w:pPr>
                    <w:r>
                      <w:rPr>
                        <w:rFonts w:hint="eastAsia"/>
                        <w:b/>
                        <w:color w:val="FFFFFF" w:themeColor="background1"/>
                        <w:sz w:val="21"/>
                        <w:szCs w:val="21"/>
                      </w:rPr>
                      <w:t>大荔县官池风电场（50MW）</w:t>
                    </w:r>
                  </w:p>
                </w:txbxContent>
              </v:textbox>
            </v:shape>
            <v:shape id="文本框 226" o:spid="_x0000_s1069" o:spt="202" type="#_x0000_t202" style="position:absolute;left:21723;top:29551;height:7098;width:13570;"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">
              <v:path/>
              <v:fill opacity="0f" focussize="0,0"/>
              <v:stroke on="f" joinstyle="miter"/>
              <v:imagedata o:title=""/>
              <o:lock v:ext="edit"/>
              <v:textbox>
                <w:txbxContent>
                  <w:p>
                    <w:pPr>
                      <w:spacing w:line="240" w:lineRule="auto"/>
                      <w:jc w:val="center"/>
                      <w:rPr>
                        <w:b/>
                        <w:color w:val="FFFFFF" w:themeColor="background1"/>
                        <w:sz w:val="21"/>
                        <w:szCs w:val="21"/>
                      </w:rPr>
                    </w:pPr>
                    <w:r>
                      <w:rPr>
                        <w:rFonts w:hint="eastAsia"/>
                        <w:b/>
                        <w:color w:val="FFFFFF" w:themeColor="background1"/>
                        <w:sz w:val="21"/>
                        <w:szCs w:val="21"/>
                      </w:rPr>
                      <w:t>大荔县双泉风电场（100MW）</w:t>
                    </w:r>
                  </w:p>
                </w:txbxContent>
              </v:textbox>
            </v:shape>
            <v:shape id="文本框 233" o:spid="_x0000_s1070" o:spt="202" type="#_x0000_t202" style="position:absolute;left:34161;top:24725;height:6364;width:14085;"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">
              <v:path/>
              <v:fill opacity="0f" focussize="0,0"/>
              <v:stroke on="f" joinstyle="miter"/>
              <v:imagedata o:title=""/>
              <o:lock v:ext="edit"/>
              <v:textbox>
                <w:txbxContent>
                  <w:p>
                    <w:pPr>
                      <w:spacing w:line="240" w:lineRule="auto"/>
                      <w:jc w:val="center"/>
                      <w:rPr>
                        <w:b/>
                        <w:color w:val="FFFFFF" w:themeColor="background1"/>
                        <w:sz w:val="21"/>
                        <w:szCs w:val="21"/>
                      </w:rPr>
                    </w:pPr>
                    <w:r>
                      <w:rPr>
                        <w:rFonts w:hint="eastAsia"/>
                        <w:b/>
                        <w:color w:val="FFFFFF" w:themeColor="background1"/>
                        <w:sz w:val="21"/>
                        <w:szCs w:val="21"/>
                      </w:rPr>
                      <w:t>合阳县洽川镇风电场（50MW）</w:t>
                    </w:r>
                  </w:p>
                </w:txbxContent>
              </v:textbox>
            </v:shape>
            <v:shape id="文本框 232" o:spid="_x0000_s1071" o:spt="202" type="#_x0000_t202" style="position:absolute;left:19161;top:21212;height:7024;width:14377;"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">
              <v:path/>
              <v:fill opacity="0f" focussize="0,0"/>
              <v:stroke on="f" joinstyle="miter"/>
              <v:imagedata o:title=""/>
              <o:lock v:ext="edit"/>
              <v:textbox>
                <w:txbxContent>
                  <w:p>
                    <w:pPr>
                      <w:spacing w:line="240" w:lineRule="auto"/>
                      <w:jc w:val="center"/>
                      <w:rPr>
                        <w:b/>
                        <w:color w:val="FFFFFF" w:themeColor="background1"/>
                        <w:sz w:val="21"/>
                        <w:szCs w:val="21"/>
                      </w:rPr>
                    </w:pPr>
                    <w:r>
                      <w:rPr>
                        <w:rFonts w:hint="eastAsia"/>
                        <w:b/>
                        <w:color w:val="FFFFFF" w:themeColor="background1"/>
                        <w:sz w:val="21"/>
                        <w:szCs w:val="21"/>
                      </w:rPr>
                      <w:t>合阳县和家庄风电场（100MW）</w:t>
                    </w:r>
                  </w:p>
                </w:txbxContent>
              </v:textbox>
            </v:shape>
            <v:shape id="文本框 227" o:spid="_x0000_s1072" o:spt="202" type="#_x0000_t202" style="position:absolute;left:5192;top:13239;height:6438;width:13570;"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">
              <v:path/>
              <v:fill opacity="0f" focussize="0,0"/>
              <v:stroke on="f" joinstyle="miter"/>
              <v:imagedata o:title=""/>
              <o:lock v:ext="edit"/>
              <v:textbox>
                <w:txbxContent>
                  <w:p>
                    <w:pPr>
                      <w:spacing w:line="240" w:lineRule="auto"/>
                      <w:jc w:val="center"/>
                      <w:rPr>
                        <w:b/>
                        <w:color w:val="FFFFFF" w:themeColor="background1"/>
                        <w:sz w:val="21"/>
                        <w:szCs w:val="21"/>
                      </w:rPr>
                    </w:pPr>
                    <w:r>
                      <w:rPr>
                        <w:rFonts w:hint="eastAsia"/>
                        <w:b/>
                        <w:color w:val="FFFFFF" w:themeColor="background1"/>
                        <w:sz w:val="21"/>
                        <w:szCs w:val="21"/>
                      </w:rPr>
                      <w:t>白水县纵目风电场（100MW）</w:t>
                    </w:r>
                  </w:p>
                </w:txbxContent>
              </v:textbox>
            </v:shape>
            <v:shape id="文本框 234" o:spid="_x0000_s1073" o:spt="202" type="#_x0000_t202" style="position:absolute;left:25676;top:585;height:8120;width:17462;"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">
              <v:path/>
              <v:fill opacity="0f" focussize="0,0"/>
              <v:stroke on="f" joinstyle="miter"/>
              <v:imagedata o:title=""/>
              <o:lock v:ext="edit"/>
              <v:textbox>
                <w:txbxContent>
                  <w:p>
                    <w:pPr>
                      <w:spacing w:line="240" w:lineRule="auto"/>
                      <w:jc w:val="center"/>
                      <w:rPr>
                        <w:b/>
                        <w:color w:val="FFFFFF" w:themeColor="background1"/>
                        <w:sz w:val="21"/>
                        <w:szCs w:val="21"/>
                      </w:rPr>
                    </w:pPr>
                    <w:r>
                      <w:rPr>
                        <w:rFonts w:hint="eastAsia"/>
                        <w:b/>
                        <w:color w:val="FFFFFF" w:themeColor="background1"/>
                        <w:sz w:val="21"/>
                        <w:szCs w:val="21"/>
                      </w:rPr>
                      <w:t>国电陕西韩城市桑树坪风电场（150MW）</w:t>
                    </w:r>
                  </w:p>
                </w:txbxContent>
              </v:textbox>
            </v:shape>
            <v:shape id="文本框 231" o:spid="_x0000_s1074" o:spt="202" type="#_x0000_t202" style="position:absolute;left:32040;top:12069;height:6510;width:13570;"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">
              <v:path/>
              <v:fill opacity="0f" focussize="0,0"/>
              <v:stroke on="f" joinstyle="miter"/>
              <v:imagedata o:title=""/>
              <o:lock v:ext="edit"/>
              <v:textbox>
                <w:txbxContent>
                  <w:p>
                    <w:pPr>
                      <w:spacing w:line="240" w:lineRule="auto"/>
                      <w:jc w:val="center"/>
                      <w:rPr>
                        <w:b/>
                        <w:color w:val="FFFFFF" w:themeColor="background1"/>
                        <w:sz w:val="21"/>
                        <w:szCs w:val="21"/>
                      </w:rPr>
                    </w:pPr>
                    <w:r>
                      <w:rPr>
                        <w:rFonts w:hint="eastAsia"/>
                        <w:b/>
                        <w:color w:val="FFFFFF" w:themeColor="background1"/>
                        <w:sz w:val="21"/>
                        <w:szCs w:val="21"/>
                      </w:rPr>
                      <w:t>合阳县甘井镇风电场（50MW）</w:t>
                    </w:r>
                  </w:p>
                </w:txbxContent>
              </v:textbox>
            </v:shape>
            <v:shape id="文本框 228" o:spid="_x0000_s1075" o:spt="202" type="#_x0000_t202" style="position:absolute;left:20590;top:15214;height:6585;width:13570;"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">
              <v:path/>
              <v:fill opacity="0f" focussize="0,0"/>
              <v:stroke on="f" joinstyle="miter"/>
              <v:imagedata o:title=""/>
              <o:lock v:ext="edit"/>
              <v:textbox>
                <w:txbxContent>
                  <w:p>
                    <w:pPr>
                      <w:spacing w:line="240" w:lineRule="auto"/>
                      <w:jc w:val="center"/>
                      <w:rPr>
                        <w:b/>
                        <w:color w:val="FFFFFF" w:themeColor="background1"/>
                        <w:sz w:val="21"/>
                        <w:szCs w:val="21"/>
                      </w:rPr>
                    </w:pPr>
                    <w:r>
                      <w:rPr>
                        <w:rFonts w:hint="eastAsia"/>
                        <w:b/>
                        <w:color w:val="FFFFFF" w:themeColor="background1"/>
                        <w:sz w:val="21"/>
                        <w:szCs w:val="21"/>
                      </w:rPr>
                      <w:t>澄城县赵庄风电场（50MW）</w:t>
                    </w:r>
                  </w:p>
                </w:txbxContent>
              </v:textbox>
            </v:shape>
          </v:group>
        </w:pict>
      </w:r>
      <w:r>
        <w:rPr>
          <w:rFonts w:hint="eastAsia"/>
        </w:rPr>
        <w:drawing>
          <wp:inline distT="0" distB="0" distL="0" distR="0">
            <wp:extent cx="4996180" cy="5003165"/>
            <wp:effectExtent l="0" t="0" r="0" b="6985"/>
            <wp:docPr id="2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5006715" cy="5013690"/>
                    </a:xfrm>
                    <a:prstGeom prst="rect">
                      <a:avLst/>
                    </a:prstGeom>
                    <a:noFill/>
                    <a:ln w="9525">
                      <a:noFill/>
                      <a:miter lim="800000"/>
                      <a:headEnd/>
                      <a:tailEnd/>
                    </a:ln>
                  </pic:spPr>
                </pic:pic>
              </a:graphicData>
            </a:graphic>
          </wp:inline>
        </w:drawing>
      </w:r>
    </w:p>
    <w:p>
      <w:pPr>
        <w:pStyle w:val="137"/>
        <w:numPr>
          <w:ilvl w:val="0"/>
          <w:numId w:val="18"/>
        </w:numPr>
      </w:pPr>
      <w:r>
        <w:rPr>
          <w:rFonts w:hint="eastAsia"/>
        </w:rPr>
        <w:t>渭南市规划风电场场址布局图</w:t>
      </w:r>
    </w:p>
    <w:p>
      <w:pPr>
        <w:pStyle w:val="128"/>
      </w:pPr>
      <w:bookmarkStart w:id="128" w:name="OLE_LINK163"/>
      <w:r>
        <w:rPr>
          <w:rFonts w:hint="eastAsia"/>
        </w:rPr>
        <w:t>（3）生物质</w:t>
      </w:r>
      <w:r>
        <w:t>项目布局</w:t>
      </w:r>
      <w:bookmarkEnd w:id="128"/>
    </w:p>
    <w:p>
      <w:pPr>
        <w:pStyle w:val="128"/>
      </w:pPr>
      <w:r>
        <w:rPr>
          <w:rFonts w:hint="eastAsia"/>
        </w:rPr>
        <w:t>根据各个县有机质资源情况，并结合现有项目布局，提出渭南市</w:t>
      </w:r>
      <w:r>
        <w:t>2020年</w:t>
      </w:r>
      <w:r>
        <w:rPr>
          <w:rFonts w:hint="eastAsia"/>
        </w:rPr>
        <w:t>生物质利用</w:t>
      </w:r>
      <w:r>
        <w:t>项目布局，具体布局见表</w:t>
      </w:r>
      <w:r>
        <w:rPr>
          <w:rFonts w:hint="eastAsia"/>
        </w:rPr>
        <w:t>9.</w:t>
      </w:r>
      <w:r>
        <w:t>5</w:t>
      </w:r>
      <w:r>
        <w:rPr>
          <w:rFonts w:hint="eastAsia"/>
        </w:rPr>
        <w:t>。</w:t>
      </w:r>
    </w:p>
    <w:p>
      <w:pPr>
        <w:pStyle w:val="132"/>
        <w:numPr>
          <w:ilvl w:val="0"/>
          <w:numId w:val="17"/>
        </w:numPr>
      </w:pPr>
      <w:r>
        <w:rPr>
          <w:rFonts w:hint="eastAsia"/>
        </w:rPr>
        <w:t>渭南市生物质利用项目布局表</w:t>
      </w:r>
    </w:p>
    <w:tbl>
      <w:tblPr>
        <w:tblStyle w:val="45"/>
        <w:tblW w:w="91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2205"/>
        <w:gridCol w:w="4832"/>
        <w:gridCol w:w="12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46" w:type="dxa"/>
            <w:shd w:val="clear" w:color="auto" w:fill="auto"/>
            <w:vAlign w:val="center"/>
          </w:tcPr>
          <w:p>
            <w:pPr>
              <w:pStyle w:val="36"/>
            </w:pPr>
            <w:bookmarkStart w:id="129" w:name="OLE_LINK165"/>
            <w:bookmarkStart w:id="130" w:name="OLE_LINK164"/>
            <w:r>
              <w:rPr>
                <w:rFonts w:hint="eastAsia"/>
              </w:rPr>
              <w:t>序号</w:t>
            </w:r>
          </w:p>
        </w:tc>
        <w:tc>
          <w:tcPr>
            <w:tcW w:w="2205" w:type="dxa"/>
            <w:shd w:val="clear" w:color="auto" w:fill="auto"/>
            <w:vAlign w:val="center"/>
          </w:tcPr>
          <w:p>
            <w:pPr>
              <w:pStyle w:val="36"/>
            </w:pPr>
            <w:r>
              <w:rPr>
                <w:rFonts w:hint="eastAsia"/>
              </w:rPr>
              <w:t>重点区域</w:t>
            </w:r>
          </w:p>
        </w:tc>
        <w:tc>
          <w:tcPr>
            <w:tcW w:w="4832" w:type="dxa"/>
            <w:shd w:val="clear" w:color="auto" w:fill="auto"/>
            <w:vAlign w:val="center"/>
          </w:tcPr>
          <w:p>
            <w:pPr>
              <w:pStyle w:val="36"/>
            </w:pPr>
            <w:r>
              <w:rPr>
                <w:rFonts w:hint="eastAsia"/>
              </w:rPr>
              <w:t>主要资源</w:t>
            </w:r>
          </w:p>
        </w:tc>
        <w:tc>
          <w:tcPr>
            <w:tcW w:w="1251" w:type="dxa"/>
            <w:vAlign w:val="center"/>
          </w:tcPr>
          <w:p>
            <w:pPr>
              <w:pStyle w:val="36"/>
            </w:pPr>
            <w:r>
              <w:rPr>
                <w:rFonts w:hint="eastAsia"/>
              </w:rPr>
              <w:t>发展规模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46" w:type="dxa"/>
            <w:shd w:val="clear" w:color="auto" w:fill="auto"/>
            <w:vAlign w:val="center"/>
          </w:tcPr>
          <w:p>
            <w:pPr>
              <w:pStyle w:val="36"/>
            </w:pPr>
            <w:r>
              <w:rPr>
                <w:rFonts w:hint="eastAsia"/>
              </w:rPr>
              <w:t>1</w:t>
            </w:r>
          </w:p>
        </w:tc>
        <w:tc>
          <w:tcPr>
            <w:tcW w:w="2205" w:type="dxa"/>
            <w:shd w:val="clear" w:color="auto" w:fill="auto"/>
            <w:vAlign w:val="center"/>
          </w:tcPr>
          <w:p>
            <w:pPr>
              <w:pStyle w:val="36"/>
            </w:pPr>
            <w:r>
              <w:rPr>
                <w:rFonts w:hint="eastAsia"/>
              </w:rPr>
              <w:t>生物质发电项目</w:t>
            </w:r>
          </w:p>
        </w:tc>
        <w:tc>
          <w:tcPr>
            <w:tcW w:w="4832" w:type="dxa"/>
            <w:shd w:val="clear" w:color="auto" w:fill="auto"/>
            <w:vAlign w:val="center"/>
          </w:tcPr>
          <w:p>
            <w:pPr>
              <w:pStyle w:val="36"/>
            </w:pPr>
            <w:r>
              <w:rPr>
                <w:rFonts w:hint="eastAsia"/>
              </w:rPr>
              <w:t>生活垃圾、秸秆、畜禽粪便、</w:t>
            </w:r>
          </w:p>
          <w:p>
            <w:pPr>
              <w:pStyle w:val="36"/>
            </w:pPr>
            <w:r>
              <w:rPr>
                <w:rFonts w:hint="eastAsia"/>
              </w:rPr>
              <w:t>工业有机废弃物等</w:t>
            </w:r>
          </w:p>
        </w:tc>
        <w:tc>
          <w:tcPr>
            <w:tcW w:w="1251" w:type="dxa"/>
            <w:vAlign w:val="center"/>
          </w:tcPr>
          <w:p>
            <w:pPr>
              <w:pStyle w:val="36"/>
            </w:pPr>
            <w:r>
              <w:rPr>
                <w:rFonts w:hint="eastAsia"/>
              </w:rPr>
              <w:t>1</w:t>
            </w:r>
            <w:r>
              <w:t>5</w:t>
            </w:r>
            <w:r>
              <w:rPr>
                <w:rFonts w:hint="eastAsia"/>
              </w:rPr>
              <w:t>0MW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46" w:type="dxa"/>
            <w:shd w:val="clear" w:color="auto" w:fill="auto"/>
            <w:vAlign w:val="center"/>
          </w:tcPr>
          <w:p>
            <w:pPr>
              <w:pStyle w:val="36"/>
            </w:pPr>
            <w:r>
              <w:rPr>
                <w:rFonts w:hint="eastAsia"/>
              </w:rPr>
              <w:t>1.1</w:t>
            </w:r>
          </w:p>
        </w:tc>
        <w:tc>
          <w:tcPr>
            <w:tcW w:w="2205" w:type="dxa"/>
            <w:shd w:val="clear" w:color="auto" w:fill="auto"/>
            <w:vAlign w:val="center"/>
          </w:tcPr>
          <w:p>
            <w:pPr>
              <w:pStyle w:val="36"/>
            </w:pPr>
            <w:r>
              <w:rPr>
                <w:rFonts w:hint="eastAsia"/>
              </w:rPr>
              <w:t>生物质直燃发电</w:t>
            </w:r>
          </w:p>
        </w:tc>
        <w:tc>
          <w:tcPr>
            <w:tcW w:w="4832" w:type="dxa"/>
            <w:shd w:val="clear" w:color="auto" w:fill="auto"/>
            <w:vAlign w:val="center"/>
          </w:tcPr>
          <w:p>
            <w:pPr>
              <w:pStyle w:val="36"/>
            </w:pPr>
            <w:r>
              <w:rPr>
                <w:rFonts w:hint="eastAsia"/>
              </w:rPr>
              <w:t>生活垃圾、秸秆等</w:t>
            </w:r>
          </w:p>
        </w:tc>
        <w:tc>
          <w:tcPr>
            <w:tcW w:w="1251" w:type="dxa"/>
            <w:vAlign w:val="center"/>
          </w:tcPr>
          <w:p>
            <w:pPr>
              <w:pStyle w:val="36"/>
            </w:pPr>
            <w:r>
              <w:rPr>
                <w:rFonts w:hint="eastAsia"/>
              </w:rPr>
              <w:t>120MW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46" w:type="dxa"/>
            <w:shd w:val="clear" w:color="auto" w:fill="auto"/>
            <w:vAlign w:val="center"/>
          </w:tcPr>
          <w:p>
            <w:pPr>
              <w:pStyle w:val="36"/>
            </w:pPr>
          </w:p>
        </w:tc>
        <w:tc>
          <w:tcPr>
            <w:tcW w:w="2205" w:type="dxa"/>
            <w:shd w:val="clear" w:color="auto" w:fill="auto"/>
            <w:vAlign w:val="center"/>
          </w:tcPr>
          <w:p>
            <w:pPr>
              <w:pStyle w:val="36"/>
            </w:pPr>
            <w:r>
              <w:rPr>
                <w:rFonts w:hint="eastAsia"/>
              </w:rPr>
              <w:t>华阴市</w:t>
            </w:r>
          </w:p>
        </w:tc>
        <w:tc>
          <w:tcPr>
            <w:tcW w:w="4832" w:type="dxa"/>
            <w:shd w:val="clear" w:color="auto" w:fill="auto"/>
            <w:vAlign w:val="center"/>
          </w:tcPr>
          <w:p>
            <w:pPr>
              <w:pStyle w:val="36"/>
            </w:pPr>
            <w:r>
              <w:rPr>
                <w:rFonts w:hint="eastAsia"/>
              </w:rPr>
              <w:t>生活垃圾、秸秆等</w:t>
            </w:r>
          </w:p>
        </w:tc>
        <w:tc>
          <w:tcPr>
            <w:tcW w:w="1251" w:type="dxa"/>
            <w:vAlign w:val="center"/>
          </w:tcPr>
          <w:p>
            <w:pPr>
              <w:pStyle w:val="36"/>
            </w:pPr>
            <w:r>
              <w:rPr>
                <w:rFonts w:hint="eastAsia"/>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46" w:type="dxa"/>
            <w:shd w:val="clear" w:color="auto" w:fill="auto"/>
            <w:vAlign w:val="center"/>
          </w:tcPr>
          <w:p>
            <w:pPr>
              <w:pStyle w:val="36"/>
            </w:pPr>
          </w:p>
        </w:tc>
        <w:tc>
          <w:tcPr>
            <w:tcW w:w="2205" w:type="dxa"/>
            <w:shd w:val="clear" w:color="auto" w:fill="auto"/>
            <w:vAlign w:val="center"/>
          </w:tcPr>
          <w:p>
            <w:pPr>
              <w:pStyle w:val="36"/>
            </w:pPr>
            <w:r>
              <w:rPr>
                <w:rFonts w:hint="eastAsia"/>
              </w:rPr>
              <w:t>大荔县</w:t>
            </w:r>
          </w:p>
        </w:tc>
        <w:tc>
          <w:tcPr>
            <w:tcW w:w="4832" w:type="dxa"/>
            <w:shd w:val="clear" w:color="auto" w:fill="auto"/>
            <w:vAlign w:val="center"/>
          </w:tcPr>
          <w:p>
            <w:pPr>
              <w:pStyle w:val="36"/>
            </w:pPr>
            <w:r>
              <w:rPr>
                <w:rFonts w:hint="eastAsia"/>
              </w:rPr>
              <w:t>生活垃圾、秸秆等</w:t>
            </w:r>
          </w:p>
        </w:tc>
        <w:tc>
          <w:tcPr>
            <w:tcW w:w="1251" w:type="dxa"/>
            <w:vAlign w:val="center"/>
          </w:tcPr>
          <w:p>
            <w:pPr>
              <w:pStyle w:val="36"/>
            </w:pPr>
            <w:r>
              <w:rPr>
                <w:rFonts w:hint="eastAsia"/>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46" w:type="dxa"/>
            <w:shd w:val="clear" w:color="auto" w:fill="auto"/>
            <w:vAlign w:val="center"/>
          </w:tcPr>
          <w:p>
            <w:pPr>
              <w:pStyle w:val="36"/>
            </w:pPr>
          </w:p>
        </w:tc>
        <w:tc>
          <w:tcPr>
            <w:tcW w:w="2205" w:type="dxa"/>
            <w:shd w:val="clear" w:color="auto" w:fill="auto"/>
            <w:vAlign w:val="center"/>
          </w:tcPr>
          <w:p>
            <w:pPr>
              <w:pStyle w:val="36"/>
            </w:pPr>
            <w:r>
              <w:rPr>
                <w:rFonts w:hint="eastAsia"/>
              </w:rPr>
              <w:t>澄城县</w:t>
            </w:r>
          </w:p>
        </w:tc>
        <w:tc>
          <w:tcPr>
            <w:tcW w:w="4832" w:type="dxa"/>
            <w:shd w:val="clear" w:color="auto" w:fill="auto"/>
            <w:vAlign w:val="center"/>
          </w:tcPr>
          <w:p>
            <w:pPr>
              <w:pStyle w:val="36"/>
            </w:pPr>
            <w:r>
              <w:rPr>
                <w:rFonts w:hint="eastAsia"/>
              </w:rPr>
              <w:t>生活垃圾、秸秆等</w:t>
            </w:r>
          </w:p>
        </w:tc>
        <w:tc>
          <w:tcPr>
            <w:tcW w:w="1251" w:type="dxa"/>
            <w:vAlign w:val="center"/>
          </w:tcPr>
          <w:p>
            <w:pPr>
              <w:pStyle w:val="36"/>
            </w:pPr>
            <w:r>
              <w:rPr>
                <w:rFonts w:hint="eastAsia"/>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46" w:type="dxa"/>
            <w:shd w:val="clear" w:color="auto" w:fill="auto"/>
            <w:vAlign w:val="center"/>
          </w:tcPr>
          <w:p>
            <w:pPr>
              <w:pStyle w:val="36"/>
            </w:pPr>
            <w:r>
              <w:rPr>
                <w:rFonts w:hint="eastAsia"/>
              </w:rPr>
              <w:t>1.2</w:t>
            </w:r>
          </w:p>
        </w:tc>
        <w:tc>
          <w:tcPr>
            <w:tcW w:w="2205" w:type="dxa"/>
            <w:shd w:val="clear" w:color="auto" w:fill="auto"/>
            <w:vAlign w:val="center"/>
          </w:tcPr>
          <w:p>
            <w:pPr>
              <w:pStyle w:val="36"/>
            </w:pPr>
            <w:r>
              <w:rPr>
                <w:rFonts w:hint="eastAsia"/>
              </w:rPr>
              <w:t>生物质制气发电</w:t>
            </w:r>
          </w:p>
        </w:tc>
        <w:tc>
          <w:tcPr>
            <w:tcW w:w="4832" w:type="dxa"/>
            <w:shd w:val="clear" w:color="auto" w:fill="auto"/>
            <w:vAlign w:val="center"/>
          </w:tcPr>
          <w:p>
            <w:pPr>
              <w:pStyle w:val="36"/>
            </w:pPr>
            <w:r>
              <w:rPr>
                <w:rFonts w:hint="eastAsia"/>
              </w:rPr>
              <w:t>秸秆、畜禽粪便、农产品加工有机废弃物等</w:t>
            </w:r>
          </w:p>
        </w:tc>
        <w:tc>
          <w:tcPr>
            <w:tcW w:w="1251" w:type="dxa"/>
            <w:vAlign w:val="center"/>
          </w:tcPr>
          <w:p>
            <w:pPr>
              <w:pStyle w:val="36"/>
            </w:pPr>
            <w:r>
              <w:t>3</w:t>
            </w:r>
            <w:r>
              <w:rPr>
                <w:rFonts w:hint="eastAsia"/>
              </w:rPr>
              <w:t>0MW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46" w:type="dxa"/>
            <w:shd w:val="clear" w:color="auto" w:fill="auto"/>
            <w:vAlign w:val="center"/>
          </w:tcPr>
          <w:p>
            <w:pPr>
              <w:pStyle w:val="36"/>
            </w:pPr>
          </w:p>
        </w:tc>
        <w:tc>
          <w:tcPr>
            <w:tcW w:w="2205" w:type="dxa"/>
            <w:shd w:val="clear" w:color="auto" w:fill="auto"/>
            <w:vAlign w:val="center"/>
          </w:tcPr>
          <w:p>
            <w:pPr>
              <w:pStyle w:val="36"/>
            </w:pPr>
            <w:r>
              <w:rPr>
                <w:rFonts w:hint="eastAsia"/>
              </w:rPr>
              <w:t>渭南市</w:t>
            </w:r>
          </w:p>
        </w:tc>
        <w:tc>
          <w:tcPr>
            <w:tcW w:w="4832" w:type="dxa"/>
            <w:shd w:val="clear" w:color="auto" w:fill="auto"/>
            <w:vAlign w:val="center"/>
          </w:tcPr>
          <w:p>
            <w:pPr>
              <w:pStyle w:val="36"/>
            </w:pPr>
            <w:r>
              <w:rPr>
                <w:rFonts w:hint="eastAsia"/>
              </w:rPr>
              <w:t>秸秆、畜禽粪便、农产品加工有机废弃物等</w:t>
            </w:r>
          </w:p>
        </w:tc>
        <w:tc>
          <w:tcPr>
            <w:tcW w:w="1251" w:type="dxa"/>
            <w:vAlign w:val="center"/>
          </w:tcPr>
          <w:p>
            <w:pPr>
              <w:pStyle w:val="36"/>
            </w:pPr>
            <w:r>
              <w:rPr>
                <w:rFonts w:hint="eastAsia"/>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46" w:type="dxa"/>
            <w:shd w:val="clear" w:color="auto" w:fill="auto"/>
            <w:vAlign w:val="center"/>
          </w:tcPr>
          <w:p>
            <w:pPr>
              <w:pStyle w:val="36"/>
            </w:pPr>
          </w:p>
        </w:tc>
        <w:tc>
          <w:tcPr>
            <w:tcW w:w="2205" w:type="dxa"/>
            <w:shd w:val="clear" w:color="auto" w:fill="auto"/>
            <w:vAlign w:val="center"/>
          </w:tcPr>
          <w:p>
            <w:pPr>
              <w:pStyle w:val="36"/>
            </w:pPr>
            <w:r>
              <w:rPr>
                <w:rFonts w:hint="eastAsia"/>
              </w:rPr>
              <w:t>富平县</w:t>
            </w:r>
          </w:p>
        </w:tc>
        <w:tc>
          <w:tcPr>
            <w:tcW w:w="4832" w:type="dxa"/>
            <w:shd w:val="clear" w:color="auto" w:fill="auto"/>
            <w:vAlign w:val="center"/>
          </w:tcPr>
          <w:p>
            <w:pPr>
              <w:pStyle w:val="36"/>
            </w:pPr>
            <w:r>
              <w:rPr>
                <w:rFonts w:hint="eastAsia"/>
              </w:rPr>
              <w:t>秸秆、畜禽粪便、农产品加工有机废弃物等</w:t>
            </w:r>
          </w:p>
        </w:tc>
        <w:tc>
          <w:tcPr>
            <w:tcW w:w="1251" w:type="dxa"/>
            <w:vAlign w:val="center"/>
          </w:tcPr>
          <w:p>
            <w:pPr>
              <w:pStyle w:val="36"/>
            </w:pPr>
            <w:r>
              <w:rPr>
                <w:rFonts w:hint="eastAsia"/>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46" w:type="dxa"/>
            <w:shd w:val="clear" w:color="auto" w:fill="auto"/>
            <w:vAlign w:val="center"/>
          </w:tcPr>
          <w:p>
            <w:pPr>
              <w:pStyle w:val="36"/>
            </w:pPr>
            <w:r>
              <w:rPr>
                <w:rFonts w:hint="eastAsia"/>
              </w:rPr>
              <w:t>2</w:t>
            </w:r>
          </w:p>
        </w:tc>
        <w:tc>
          <w:tcPr>
            <w:tcW w:w="2205" w:type="dxa"/>
            <w:shd w:val="clear" w:color="auto" w:fill="auto"/>
            <w:vAlign w:val="center"/>
          </w:tcPr>
          <w:p>
            <w:pPr>
              <w:pStyle w:val="36"/>
            </w:pPr>
            <w:r>
              <w:rPr>
                <w:rFonts w:hint="eastAsia"/>
              </w:rPr>
              <w:t>生物质制气项目</w:t>
            </w:r>
          </w:p>
        </w:tc>
        <w:tc>
          <w:tcPr>
            <w:tcW w:w="4832" w:type="dxa"/>
            <w:shd w:val="clear" w:color="auto" w:fill="auto"/>
            <w:vAlign w:val="center"/>
          </w:tcPr>
          <w:p>
            <w:pPr>
              <w:pStyle w:val="36"/>
            </w:pPr>
            <w:r>
              <w:rPr>
                <w:rFonts w:hint="eastAsia"/>
              </w:rPr>
              <w:t>秸秆、畜禽粪便、农产品加工有机废弃物等</w:t>
            </w:r>
          </w:p>
        </w:tc>
        <w:tc>
          <w:tcPr>
            <w:tcW w:w="1251" w:type="dxa"/>
            <w:vAlign w:val="center"/>
          </w:tcPr>
          <w:p>
            <w:pPr>
              <w:pStyle w:val="36"/>
            </w:pPr>
            <w:r>
              <w:rPr>
                <w:rFonts w:hint="eastAsia"/>
              </w:rPr>
              <w:t>2万方/日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46" w:type="dxa"/>
            <w:shd w:val="clear" w:color="auto" w:fill="auto"/>
            <w:vAlign w:val="center"/>
          </w:tcPr>
          <w:p>
            <w:pPr>
              <w:pStyle w:val="36"/>
            </w:pPr>
          </w:p>
        </w:tc>
        <w:tc>
          <w:tcPr>
            <w:tcW w:w="2205" w:type="dxa"/>
            <w:shd w:val="clear" w:color="auto" w:fill="auto"/>
            <w:vAlign w:val="center"/>
          </w:tcPr>
          <w:p>
            <w:pPr>
              <w:pStyle w:val="36"/>
            </w:pPr>
            <w:r>
              <w:rPr>
                <w:rFonts w:hint="eastAsia"/>
              </w:rPr>
              <w:t>蒲城县</w:t>
            </w:r>
          </w:p>
        </w:tc>
        <w:tc>
          <w:tcPr>
            <w:tcW w:w="4832" w:type="dxa"/>
            <w:shd w:val="clear" w:color="auto" w:fill="auto"/>
            <w:vAlign w:val="center"/>
          </w:tcPr>
          <w:p>
            <w:pPr>
              <w:pStyle w:val="36"/>
            </w:pPr>
            <w:r>
              <w:rPr>
                <w:rFonts w:hint="eastAsia"/>
              </w:rPr>
              <w:t>秸秆、畜禽粪便、农产品加工有机废弃物等</w:t>
            </w:r>
          </w:p>
        </w:tc>
        <w:tc>
          <w:tcPr>
            <w:tcW w:w="1251" w:type="dxa"/>
            <w:vAlign w:val="center"/>
          </w:tcPr>
          <w:p>
            <w:pPr>
              <w:pStyle w:val="36"/>
            </w:pPr>
            <w:r>
              <w:rPr>
                <w:rFonts w:hint="eastAsia"/>
              </w:rPr>
              <w:t>1万方/日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46" w:type="dxa"/>
            <w:shd w:val="clear" w:color="auto" w:fill="auto"/>
            <w:vAlign w:val="center"/>
          </w:tcPr>
          <w:p>
            <w:pPr>
              <w:pStyle w:val="36"/>
            </w:pPr>
          </w:p>
        </w:tc>
        <w:tc>
          <w:tcPr>
            <w:tcW w:w="2205" w:type="dxa"/>
            <w:shd w:val="clear" w:color="auto" w:fill="auto"/>
            <w:vAlign w:val="center"/>
          </w:tcPr>
          <w:p>
            <w:pPr>
              <w:pStyle w:val="36"/>
            </w:pPr>
            <w:r>
              <w:rPr>
                <w:rFonts w:hint="eastAsia"/>
              </w:rPr>
              <w:t>合阳县</w:t>
            </w:r>
          </w:p>
        </w:tc>
        <w:tc>
          <w:tcPr>
            <w:tcW w:w="4832" w:type="dxa"/>
            <w:shd w:val="clear" w:color="auto" w:fill="auto"/>
            <w:vAlign w:val="center"/>
          </w:tcPr>
          <w:p>
            <w:pPr>
              <w:pStyle w:val="36"/>
            </w:pPr>
            <w:r>
              <w:rPr>
                <w:rFonts w:hint="eastAsia"/>
              </w:rPr>
              <w:t>秸秆、畜禽粪便、农产品加工有机废弃物等</w:t>
            </w:r>
          </w:p>
        </w:tc>
        <w:tc>
          <w:tcPr>
            <w:tcW w:w="1251" w:type="dxa"/>
            <w:vAlign w:val="center"/>
          </w:tcPr>
          <w:p>
            <w:pPr>
              <w:pStyle w:val="36"/>
            </w:pPr>
            <w:r>
              <w:rPr>
                <w:rFonts w:hint="eastAsia"/>
              </w:rPr>
              <w:t>1万方/日</w:t>
            </w:r>
          </w:p>
        </w:tc>
      </w:tr>
      <w:bookmarkEnd w:id="129"/>
      <w:bookmarkEnd w:id="130"/>
    </w:tbl>
    <w:p>
      <w:pPr>
        <w:rPr>
          <w:rFonts w:ascii="宋体" w:hAnsi="宋体"/>
          <w:szCs w:val="21"/>
        </w:rPr>
      </w:pPr>
    </w:p>
    <w:p>
      <w:pPr>
        <w:pStyle w:val="128"/>
      </w:pPr>
    </w:p>
    <w:p>
      <w:pPr>
        <w:pStyle w:val="137"/>
        <w:numPr>
          <w:ilvl w:val="0"/>
          <w:numId w:val="0"/>
        </w:numPr>
        <w:ind w:left="420"/>
      </w:pPr>
    </w:p>
    <w:p>
      <w:pPr>
        <w:pStyle w:val="137"/>
        <w:sectPr>
          <w:pgSz w:w="11906" w:h="16838"/>
          <w:pgMar w:top="1440" w:right="1588" w:bottom="1440" w:left="1588" w:header="851" w:footer="992" w:gutter="0"/>
          <w:pgNumType w:fmt="decimal"/>
          <w:cols w:space="720" w:num="1"/>
          <w:docGrid w:linePitch="312" w:charSpace="0"/>
        </w:sectPr>
      </w:pPr>
    </w:p>
    <w:p>
      <w:pPr>
        <w:keepNext/>
        <w:keepLines/>
        <w:numPr>
          <w:ilvl w:val="0"/>
          <w:numId w:val="3"/>
        </w:numPr>
        <w:tabs>
          <w:tab w:val="left" w:pos="360"/>
        </w:tabs>
        <w:adjustRightInd w:val="0"/>
        <w:snapToGrid w:val="0"/>
        <w:jc w:val="left"/>
        <w:outlineLvl w:val="0"/>
        <w:rPr>
          <w:rFonts w:ascii="黑体" w:eastAsia="黑体"/>
          <w:bCs/>
          <w:kern w:val="44"/>
          <w:sz w:val="32"/>
          <w:szCs w:val="32"/>
        </w:rPr>
      </w:pPr>
      <w:bookmarkStart w:id="131" w:name="_Toc8816"/>
      <w:r>
        <w:rPr>
          <w:rFonts w:hint="eastAsia" w:ascii="黑体" w:eastAsia="黑体"/>
          <w:bCs/>
          <w:kern w:val="44"/>
          <w:sz w:val="32"/>
          <w:szCs w:val="32"/>
        </w:rPr>
        <w:t>发展重点</w:t>
      </w:r>
      <w:bookmarkEnd w:id="131"/>
    </w:p>
    <w:p>
      <w:pPr>
        <w:pStyle w:val="125"/>
      </w:pPr>
      <w:bookmarkStart w:id="132" w:name="OLE_LINK8"/>
      <w:bookmarkStart w:id="133" w:name="_Toc17517"/>
      <w:bookmarkStart w:id="134" w:name="OLE_LINK1"/>
      <w:r>
        <w:rPr>
          <w:rFonts w:hint="eastAsia"/>
        </w:rPr>
        <w:t>发展重点</w:t>
      </w:r>
      <w:bookmarkEnd w:id="132"/>
      <w:bookmarkEnd w:id="133"/>
    </w:p>
    <w:p>
      <w:pPr>
        <w:pStyle w:val="126"/>
      </w:pPr>
      <w:bookmarkStart w:id="135" w:name="OLE_LINK4"/>
      <w:bookmarkStart w:id="136" w:name="OLE_LINK13"/>
      <w:bookmarkStart w:id="137" w:name="OLE_LINK5"/>
      <w:r>
        <w:rPr>
          <w:rFonts w:hint="eastAsia"/>
        </w:rPr>
        <w:t>新能源汽车产业</w:t>
      </w:r>
    </w:p>
    <w:bookmarkEnd w:id="135"/>
    <w:p>
      <w:pPr>
        <w:widowControl/>
        <w:adjustRightInd w:val="0"/>
        <w:snapToGrid w:val="0"/>
        <w:ind w:firstLine="480" w:firstLineChars="200"/>
        <w:rPr>
          <w:rFonts w:ascii="宋体"/>
          <w:bCs/>
          <w:kern w:val="0"/>
        </w:rPr>
      </w:pPr>
      <w:bookmarkStart w:id="138" w:name="OLE_LINK39"/>
      <w:bookmarkStart w:id="139" w:name="OLE_LINK31"/>
      <w:bookmarkStart w:id="140" w:name="OLE_LINK15"/>
      <w:bookmarkStart w:id="141" w:name="OLE_LINK12"/>
      <w:r>
        <w:rPr>
          <w:rFonts w:hint="eastAsia" w:ascii="宋体"/>
          <w:bCs/>
          <w:kern w:val="0"/>
        </w:rPr>
        <w:t>（1）整车</w:t>
      </w:r>
    </w:p>
    <w:p>
      <w:pPr>
        <w:widowControl/>
        <w:numPr>
          <w:ilvl w:val="0"/>
          <w:numId w:val="19"/>
        </w:numPr>
        <w:adjustRightInd w:val="0"/>
        <w:snapToGrid w:val="0"/>
        <w:ind w:firstLine="480" w:firstLineChars="200"/>
        <w:rPr>
          <w:rFonts w:ascii="宋体"/>
          <w:bCs/>
          <w:kern w:val="0"/>
        </w:rPr>
      </w:pPr>
      <w:r>
        <w:rPr>
          <w:rFonts w:hint="eastAsia" w:ascii="宋体"/>
          <w:bCs/>
          <w:kern w:val="0"/>
        </w:rPr>
        <w:t>乘用车</w:t>
      </w:r>
      <w:bookmarkStart w:id="142" w:name="OLE_LINK36"/>
    </w:p>
    <w:bookmarkEnd w:id="136"/>
    <w:p>
      <w:pPr>
        <w:widowControl/>
        <w:adjustRightInd w:val="0"/>
        <w:snapToGrid w:val="0"/>
        <w:ind w:firstLine="480" w:firstLineChars="200"/>
        <w:rPr>
          <w:rFonts w:ascii="宋体"/>
          <w:bCs/>
          <w:kern w:val="0"/>
        </w:rPr>
      </w:pPr>
      <w:bookmarkStart w:id="143" w:name="OLE_LINK30"/>
      <w:r>
        <w:rPr>
          <w:rFonts w:hint="eastAsia" w:ascii="宋体"/>
          <w:bCs/>
          <w:kern w:val="0"/>
        </w:rPr>
        <w:t>以纯电动汽车,燃料电池汽</w:t>
      </w:r>
      <w:bookmarkEnd w:id="138"/>
      <w:r>
        <w:rPr>
          <w:rFonts w:hint="eastAsia" w:ascii="宋体"/>
          <w:bCs/>
          <w:kern w:val="0"/>
        </w:rPr>
        <w:t>车,增程式电动车为主导，推动新能源汽车向车身轻量化，车辆智能化，机械、电子和信息技术高度集成的方向发展，大力推进发展短程乘用车，重点发展城市微型通勤车等小型纯电动汽车（含增程式电动汽车）。</w:t>
      </w:r>
      <w:bookmarkEnd w:id="143"/>
      <w:r>
        <w:rPr>
          <w:rFonts w:hint="eastAsia" w:ascii="宋体"/>
          <w:bCs/>
          <w:kern w:val="0"/>
        </w:rPr>
        <w:t>开展全新底盘新能源乘用车整车设计，加快产品市场投放和批量生产，进一步掌握电池系统、控制系统方面核心技术，超前开发新能源智能汽车,加快电动四驱技术、轻量化车身技术、电机矢量控制技术的开发应用，推动电动无人驾驶汽车研发。计划在2年内，新能源乘用车生产能力达到年产10000辆，并带动本地相关零部件产业集聚和规模化发展。</w:t>
      </w:r>
      <w:bookmarkEnd w:id="142"/>
    </w:p>
    <w:p>
      <w:pPr>
        <w:widowControl/>
        <w:adjustRightInd w:val="0"/>
        <w:snapToGrid w:val="0"/>
        <w:ind w:firstLine="480" w:firstLineChars="200"/>
        <w:rPr>
          <w:rFonts w:ascii="宋体"/>
          <w:bCs/>
          <w:kern w:val="0"/>
        </w:rPr>
      </w:pPr>
      <w:r>
        <w:rPr>
          <w:rFonts w:hint="eastAsia" w:ascii="宋体"/>
          <w:bCs/>
          <w:kern w:val="0"/>
        </w:rPr>
        <w:t>b</w:t>
      </w:r>
      <w:bookmarkStart w:id="144" w:name="OLE_LINK32"/>
      <w:r>
        <w:rPr>
          <w:rFonts w:hint="eastAsia" w:ascii="宋体"/>
          <w:bCs/>
          <w:kern w:val="0"/>
        </w:rPr>
        <w:t>）</w:t>
      </w:r>
      <w:bookmarkEnd w:id="144"/>
      <w:r>
        <w:rPr>
          <w:rFonts w:hint="eastAsia" w:ascii="宋体"/>
          <w:bCs/>
          <w:kern w:val="0"/>
        </w:rPr>
        <w:t>专用车</w:t>
      </w:r>
    </w:p>
    <w:p>
      <w:pPr>
        <w:widowControl/>
        <w:adjustRightInd w:val="0"/>
        <w:snapToGrid w:val="0"/>
        <w:ind w:firstLine="480" w:firstLineChars="200"/>
        <w:rPr>
          <w:rFonts w:ascii="宋体"/>
          <w:bCs/>
          <w:kern w:val="0"/>
        </w:rPr>
      </w:pPr>
      <w:r>
        <w:rPr>
          <w:rFonts w:hint="eastAsia" w:ascii="宋体"/>
          <w:bCs/>
          <w:kern w:val="0"/>
        </w:rPr>
        <w:t>重点发展中高档新能源区域物流车、市政市容环卫车、环保监测专用车、质量与计量专用车、高尔夫球车、除雪车、旅游观光车等特种、专用新能源汽车。支持中联重科等企业技术改造和新产品开发项目，打造在国内具有比较竞争优势的重点产品，支持企业加快开发电动专用车新产品，拓展新领域。推动新能源专用车向技术含量高、专用功能强、特色品种多的方向发展。</w:t>
      </w:r>
      <w:bookmarkStart w:id="145" w:name="OLE_LINK45"/>
      <w:r>
        <w:rPr>
          <w:rFonts w:hint="eastAsia" w:ascii="宋体"/>
          <w:bCs/>
          <w:kern w:val="0"/>
        </w:rPr>
        <w:t>计划在2年内，新能源专用车年生产能力超过2000辆，形成1</w:t>
      </w:r>
      <w:r>
        <w:rPr>
          <w:rFonts w:ascii="宋体"/>
          <w:bCs/>
          <w:kern w:val="0"/>
        </w:rPr>
        <w:t>-</w:t>
      </w:r>
      <w:r>
        <w:rPr>
          <w:rFonts w:hint="eastAsia" w:ascii="宋体"/>
          <w:bCs/>
          <w:kern w:val="0"/>
        </w:rPr>
        <w:t>2家在全省具有重要影响力的新能源专用车的生产企业。</w:t>
      </w:r>
      <w:bookmarkEnd w:id="145"/>
    </w:p>
    <w:p>
      <w:pPr>
        <w:widowControl/>
        <w:adjustRightInd w:val="0"/>
        <w:snapToGrid w:val="0"/>
        <w:ind w:firstLine="480" w:firstLineChars="200"/>
        <w:rPr>
          <w:rFonts w:ascii="宋体"/>
          <w:bCs/>
          <w:kern w:val="0"/>
        </w:rPr>
      </w:pPr>
      <w:r>
        <w:rPr>
          <w:rFonts w:hint="eastAsia" w:ascii="宋体"/>
          <w:bCs/>
          <w:kern w:val="0"/>
        </w:rPr>
        <w:t>c</w:t>
      </w:r>
      <w:bookmarkStart w:id="146" w:name="OLE_LINK33"/>
      <w:r>
        <w:rPr>
          <w:rFonts w:hint="eastAsia" w:ascii="宋体"/>
          <w:bCs/>
          <w:kern w:val="0"/>
        </w:rPr>
        <w:t>）</w:t>
      </w:r>
      <w:bookmarkEnd w:id="146"/>
      <w:r>
        <w:rPr>
          <w:rFonts w:hint="eastAsia" w:ascii="宋体"/>
          <w:bCs/>
          <w:kern w:val="0"/>
        </w:rPr>
        <w:t>客车</w:t>
      </w:r>
    </w:p>
    <w:p>
      <w:pPr>
        <w:widowControl/>
        <w:adjustRightInd w:val="0"/>
        <w:snapToGrid w:val="0"/>
        <w:ind w:firstLine="480" w:firstLineChars="200"/>
        <w:rPr>
          <w:rFonts w:ascii="宋体"/>
          <w:bCs/>
          <w:kern w:val="0"/>
        </w:rPr>
      </w:pPr>
      <w:r>
        <w:rPr>
          <w:rFonts w:hint="eastAsia" w:ascii="宋体"/>
          <w:bCs/>
          <w:kern w:val="0"/>
        </w:rPr>
        <w:t>以发展节能环保的电动客车作为未来发展的方向，建设成新能源电动客车底盘项目、电机、电池、电动汽车为一体的研发中心。</w:t>
      </w:r>
      <w:bookmarkStart w:id="147" w:name="OLE_LINK35"/>
      <w:r>
        <w:rPr>
          <w:rFonts w:hint="eastAsia" w:ascii="宋体"/>
          <w:bCs/>
          <w:kern w:val="0"/>
        </w:rPr>
        <w:t>重点发展纯电动客车，支持北汽新能源、汉能集团、星美集团、比亚迪、上汽、陕汽等企业新能源客车项目建设，鼓励企业加大技术研发投入，加快新车型开发，进一步提高新能源客车整车技术和工业设计水平。引导企业通过联合重组、合资合作提升竞争力，把纯电动客车打造成全省的优势产品。</w:t>
      </w:r>
      <w:bookmarkStart w:id="148" w:name="OLE_LINK46"/>
      <w:bookmarkEnd w:id="147"/>
      <w:r>
        <w:rPr>
          <w:rFonts w:hint="eastAsia" w:ascii="宋体"/>
          <w:bCs/>
          <w:kern w:val="0"/>
        </w:rPr>
        <w:t>计划在2年内，达成5000台纯电动客车的产能，力争到2020年完成1万台纯电动客车的产业基地。</w:t>
      </w:r>
      <w:bookmarkEnd w:id="139"/>
      <w:bookmarkEnd w:id="148"/>
    </w:p>
    <w:p>
      <w:pPr>
        <w:widowControl/>
        <w:adjustRightInd w:val="0"/>
        <w:snapToGrid w:val="0"/>
        <w:ind w:firstLine="480" w:firstLineChars="200"/>
        <w:rPr>
          <w:rFonts w:ascii="宋体"/>
          <w:bCs/>
          <w:kern w:val="0"/>
        </w:rPr>
      </w:pPr>
      <w:r>
        <w:rPr>
          <w:rFonts w:hint="eastAsia" w:ascii="宋体"/>
          <w:bCs/>
          <w:kern w:val="0"/>
        </w:rPr>
        <w:t>d）农用车</w:t>
      </w:r>
    </w:p>
    <w:p>
      <w:pPr>
        <w:widowControl/>
        <w:adjustRightInd w:val="0"/>
        <w:snapToGrid w:val="0"/>
        <w:ind w:firstLine="480" w:firstLineChars="200"/>
        <w:rPr>
          <w:rFonts w:ascii="宋体"/>
          <w:bCs/>
          <w:kern w:val="0"/>
        </w:rPr>
      </w:pPr>
      <w:r>
        <w:rPr>
          <w:rFonts w:hint="eastAsia" w:ascii="宋体"/>
          <w:bCs/>
          <w:kern w:val="0"/>
        </w:rPr>
        <w:t>渭南</w:t>
      </w:r>
      <w:r>
        <w:rPr>
          <w:rFonts w:ascii="宋体"/>
          <w:bCs/>
          <w:kern w:val="0"/>
        </w:rPr>
        <w:t>为传统的农业大省，</w:t>
      </w:r>
      <w:r>
        <w:rPr>
          <w:rFonts w:hint="eastAsia" w:ascii="宋体"/>
          <w:bCs/>
          <w:kern w:val="0"/>
        </w:rPr>
        <w:t>农用车</w:t>
      </w:r>
      <w:r>
        <w:rPr>
          <w:rFonts w:ascii="宋体"/>
          <w:bCs/>
          <w:kern w:val="0"/>
        </w:rPr>
        <w:t>需求量大，</w:t>
      </w:r>
      <w:r>
        <w:rPr>
          <w:rFonts w:hint="eastAsia" w:ascii="宋体"/>
          <w:bCs/>
          <w:kern w:val="0"/>
        </w:rPr>
        <w:t>且</w:t>
      </w:r>
      <w:r>
        <w:rPr>
          <w:rFonts w:ascii="宋体"/>
          <w:bCs/>
          <w:kern w:val="0"/>
        </w:rPr>
        <w:t>农村具有较为便捷的充电条件，</w:t>
      </w:r>
      <w:r>
        <w:rPr>
          <w:rFonts w:hint="eastAsia" w:ascii="宋体"/>
          <w:bCs/>
          <w:kern w:val="0"/>
        </w:rPr>
        <w:t>农用车</w:t>
      </w:r>
      <w:r>
        <w:rPr>
          <w:rFonts w:ascii="宋体"/>
          <w:bCs/>
          <w:kern w:val="0"/>
        </w:rPr>
        <w:t>出行距离短，</w:t>
      </w:r>
      <w:r>
        <w:rPr>
          <w:rFonts w:hint="eastAsia" w:ascii="宋体"/>
          <w:bCs/>
          <w:kern w:val="0"/>
        </w:rPr>
        <w:t>可以</w:t>
      </w:r>
      <w:r>
        <w:rPr>
          <w:rFonts w:ascii="宋体"/>
          <w:bCs/>
          <w:kern w:val="0"/>
        </w:rPr>
        <w:t>作为目前渭南新能源车的一个重要方向。</w:t>
      </w:r>
      <w:r>
        <w:rPr>
          <w:rFonts w:hint="eastAsia" w:ascii="宋体"/>
          <w:bCs/>
          <w:kern w:val="0"/>
        </w:rPr>
        <w:t>鼓励传统</w:t>
      </w:r>
      <w:r>
        <w:rPr>
          <w:rFonts w:ascii="宋体"/>
          <w:bCs/>
          <w:kern w:val="0"/>
        </w:rPr>
        <w:t>农用车生产企业转型升级，</w:t>
      </w:r>
      <w:r>
        <w:rPr>
          <w:rFonts w:hint="eastAsia" w:ascii="宋体"/>
          <w:bCs/>
          <w:kern w:val="0"/>
        </w:rPr>
        <w:t>打造</w:t>
      </w:r>
      <w:r>
        <w:rPr>
          <w:rFonts w:ascii="宋体"/>
          <w:bCs/>
          <w:kern w:val="0"/>
        </w:rPr>
        <w:t>纯电动农用车，</w:t>
      </w:r>
      <w:r>
        <w:rPr>
          <w:rFonts w:hint="eastAsia" w:ascii="宋体"/>
          <w:bCs/>
          <w:kern w:val="0"/>
        </w:rPr>
        <w:t>争取</w:t>
      </w:r>
      <w:r>
        <w:rPr>
          <w:rFonts w:ascii="宋体"/>
          <w:bCs/>
          <w:kern w:val="0"/>
        </w:rPr>
        <w:t>在</w:t>
      </w:r>
      <w:r>
        <w:rPr>
          <w:rFonts w:hint="eastAsia" w:ascii="宋体"/>
          <w:bCs/>
          <w:kern w:val="0"/>
        </w:rPr>
        <w:t>2020年</w:t>
      </w:r>
      <w:r>
        <w:rPr>
          <w:rFonts w:ascii="宋体"/>
          <w:bCs/>
          <w:kern w:val="0"/>
        </w:rPr>
        <w:t>以前，能够形成</w:t>
      </w:r>
      <w:r>
        <w:rPr>
          <w:rFonts w:hint="eastAsia" w:ascii="宋体"/>
          <w:bCs/>
          <w:kern w:val="0"/>
        </w:rPr>
        <w:t>1</w:t>
      </w:r>
      <w:r>
        <w:rPr>
          <w:rFonts w:ascii="宋体"/>
          <w:bCs/>
          <w:kern w:val="0"/>
        </w:rPr>
        <w:t>-2</w:t>
      </w:r>
      <w:r>
        <w:rPr>
          <w:rFonts w:hint="eastAsia" w:ascii="宋体"/>
          <w:bCs/>
          <w:kern w:val="0"/>
        </w:rPr>
        <w:t>家</w:t>
      </w:r>
      <w:r>
        <w:rPr>
          <w:rFonts w:ascii="宋体"/>
          <w:bCs/>
          <w:kern w:val="0"/>
        </w:rPr>
        <w:t>在省内具有影响力的新能源农用车生产制造企业</w:t>
      </w:r>
      <w:r>
        <w:rPr>
          <w:rFonts w:hint="eastAsia" w:ascii="宋体"/>
          <w:bCs/>
          <w:kern w:val="0"/>
        </w:rPr>
        <w:t>，</w:t>
      </w:r>
      <w:r>
        <w:rPr>
          <w:rFonts w:ascii="宋体"/>
          <w:bCs/>
          <w:kern w:val="0"/>
        </w:rPr>
        <w:t>新能源农用车的生产能力达到</w:t>
      </w:r>
      <w:r>
        <w:rPr>
          <w:rFonts w:hint="eastAsia" w:ascii="宋体"/>
          <w:bCs/>
          <w:kern w:val="0"/>
        </w:rPr>
        <w:t>5000台</w:t>
      </w:r>
      <w:r>
        <w:rPr>
          <w:rFonts w:ascii="宋体"/>
          <w:bCs/>
          <w:kern w:val="0"/>
        </w:rPr>
        <w:t>。</w:t>
      </w:r>
    </w:p>
    <w:bookmarkEnd w:id="140"/>
    <w:p>
      <w:pPr>
        <w:widowControl/>
        <w:adjustRightInd w:val="0"/>
        <w:snapToGrid w:val="0"/>
        <w:ind w:firstLine="480" w:firstLineChars="200"/>
        <w:rPr>
          <w:rFonts w:ascii="宋体"/>
          <w:bCs/>
          <w:kern w:val="0"/>
        </w:rPr>
      </w:pPr>
      <w:bookmarkStart w:id="149" w:name="OLE_LINK20"/>
      <w:bookmarkStart w:id="150" w:name="OLE_LINK14"/>
      <w:r>
        <w:rPr>
          <w:rFonts w:hint="eastAsia" w:ascii="宋体"/>
          <w:bCs/>
          <w:kern w:val="0"/>
        </w:rPr>
        <w:t>（2）关键零部件</w:t>
      </w:r>
    </w:p>
    <w:bookmarkEnd w:id="149"/>
    <w:p>
      <w:pPr>
        <w:widowControl/>
        <w:adjustRightInd w:val="0"/>
        <w:snapToGrid w:val="0"/>
        <w:ind w:firstLine="480" w:firstLineChars="200"/>
        <w:rPr>
          <w:rFonts w:ascii="宋体"/>
          <w:bCs/>
          <w:kern w:val="0"/>
        </w:rPr>
      </w:pPr>
      <w:r>
        <w:rPr>
          <w:rFonts w:hint="eastAsia" w:ascii="宋体"/>
          <w:bCs/>
          <w:kern w:val="0"/>
        </w:rPr>
        <w:t>a）动力电池</w:t>
      </w:r>
    </w:p>
    <w:p>
      <w:pPr>
        <w:widowControl/>
        <w:adjustRightInd w:val="0"/>
        <w:snapToGrid w:val="0"/>
        <w:ind w:firstLine="480" w:firstLineChars="200"/>
        <w:rPr>
          <w:rFonts w:ascii="宋体"/>
          <w:bCs/>
          <w:kern w:val="0"/>
        </w:rPr>
      </w:pPr>
      <w:r>
        <w:rPr>
          <w:rFonts w:hint="eastAsia" w:ascii="宋体"/>
          <w:bCs/>
          <w:kern w:val="0"/>
        </w:rPr>
        <w:t>重点发展锂离子动力与储能电池及正负极、隔膜、电解液等基础材料，支持企业加大技术攻关力度，突破先进锂离子动力电池关键技术。</w:t>
      </w:r>
      <w:bookmarkStart w:id="151" w:name="OLE_LINK18"/>
      <w:r>
        <w:rPr>
          <w:rFonts w:hint="eastAsia" w:ascii="宋体"/>
          <w:bCs/>
          <w:kern w:val="0"/>
        </w:rPr>
        <w:t>到</w:t>
      </w:r>
      <w:r>
        <w:rPr>
          <w:rFonts w:ascii="宋体"/>
          <w:bCs/>
          <w:kern w:val="0"/>
        </w:rPr>
        <w:t>2020</w:t>
      </w:r>
      <w:r>
        <w:rPr>
          <w:rFonts w:hint="eastAsia" w:ascii="宋体"/>
          <w:bCs/>
          <w:kern w:val="0"/>
        </w:rPr>
        <w:t>年，能量型锂离子电池单体和系统技术指标达到我国动力蓄电池产业发展规划的相关要求；功率型锂离子电池单体比能量达到</w:t>
      </w:r>
      <w:r>
        <w:rPr>
          <w:rFonts w:ascii="宋体"/>
          <w:bCs/>
          <w:kern w:val="0"/>
        </w:rPr>
        <w:t>120Wh/kg</w:t>
      </w:r>
      <w:r>
        <w:rPr>
          <w:rFonts w:hint="eastAsia" w:ascii="宋体"/>
          <w:bCs/>
          <w:kern w:val="0"/>
        </w:rPr>
        <w:t>以上，常温下</w:t>
      </w:r>
      <w:r>
        <w:rPr>
          <w:rFonts w:ascii="宋体"/>
          <w:bCs/>
          <w:kern w:val="0"/>
        </w:rPr>
        <w:t>10C</w:t>
      </w:r>
      <w:r>
        <w:rPr>
          <w:rFonts w:hint="eastAsia" w:ascii="宋体"/>
          <w:bCs/>
          <w:kern w:val="0"/>
        </w:rPr>
        <w:t>充放电循环寿命</w:t>
      </w:r>
      <w:r>
        <w:rPr>
          <w:rFonts w:ascii="宋体"/>
          <w:bCs/>
          <w:kern w:val="0"/>
        </w:rPr>
        <w:t>20000</w:t>
      </w:r>
      <w:r>
        <w:rPr>
          <w:rFonts w:hint="eastAsia" w:ascii="宋体"/>
          <w:bCs/>
          <w:kern w:val="0"/>
        </w:rPr>
        <w:t>次以上，成本降至</w:t>
      </w:r>
      <w:r>
        <w:rPr>
          <w:rFonts w:ascii="宋体"/>
          <w:bCs/>
          <w:kern w:val="0"/>
        </w:rPr>
        <w:t>2</w:t>
      </w:r>
      <w:r>
        <w:rPr>
          <w:rFonts w:hint="eastAsia" w:ascii="宋体"/>
          <w:bCs/>
          <w:kern w:val="0"/>
        </w:rPr>
        <w:t>元</w:t>
      </w:r>
      <w:r>
        <w:rPr>
          <w:rFonts w:ascii="宋体"/>
          <w:bCs/>
          <w:kern w:val="0"/>
        </w:rPr>
        <w:t>/Wh</w:t>
      </w:r>
      <w:r>
        <w:rPr>
          <w:rFonts w:hint="eastAsia" w:ascii="宋体"/>
          <w:bCs/>
          <w:kern w:val="0"/>
        </w:rPr>
        <w:t>以下。</w:t>
      </w:r>
      <w:bookmarkEnd w:id="151"/>
    </w:p>
    <w:p>
      <w:pPr>
        <w:widowControl/>
        <w:adjustRightInd w:val="0"/>
        <w:snapToGrid w:val="0"/>
        <w:ind w:firstLine="480" w:firstLineChars="200"/>
        <w:rPr>
          <w:rFonts w:ascii="宋体"/>
          <w:bCs/>
          <w:kern w:val="0"/>
        </w:rPr>
      </w:pPr>
      <w:r>
        <w:rPr>
          <w:rFonts w:hint="eastAsia" w:ascii="宋体"/>
          <w:bCs/>
          <w:kern w:val="0"/>
        </w:rPr>
        <w:t>b）车用驱动电机</w:t>
      </w:r>
    </w:p>
    <w:p>
      <w:pPr>
        <w:widowControl/>
        <w:adjustRightInd w:val="0"/>
        <w:snapToGrid w:val="0"/>
        <w:ind w:firstLine="480" w:firstLineChars="200"/>
        <w:rPr>
          <w:rFonts w:ascii="宋体"/>
          <w:bCs/>
          <w:kern w:val="0"/>
        </w:rPr>
      </w:pPr>
      <w:r>
        <w:rPr>
          <w:rFonts w:hint="eastAsia" w:ascii="宋体"/>
          <w:bCs/>
          <w:kern w:val="0"/>
        </w:rPr>
        <w:t>重点发展具有高功率密度、高效率等优点的永磁同步电机；具有结构简单、转速范围高等优点的交流异步电机；具有结构简单、成本较低等优点的开关磁阻电机。积极谋划发展可变磁力电机、混合励磁电机等新一代电机。推动电机向集成化、数字化、永磁化和小型化方向发展。</w:t>
      </w:r>
    </w:p>
    <w:p>
      <w:pPr>
        <w:widowControl/>
        <w:adjustRightInd w:val="0"/>
        <w:snapToGrid w:val="0"/>
        <w:ind w:firstLine="480" w:firstLineChars="200"/>
        <w:rPr>
          <w:rFonts w:ascii="宋体"/>
          <w:bCs/>
          <w:kern w:val="0"/>
        </w:rPr>
      </w:pPr>
      <w:bookmarkStart w:id="152" w:name="OLE_LINK19"/>
      <w:r>
        <w:rPr>
          <w:rFonts w:hint="eastAsia" w:ascii="宋体"/>
          <w:bCs/>
          <w:kern w:val="0"/>
        </w:rPr>
        <w:t>c）整车电控系统</w:t>
      </w:r>
    </w:p>
    <w:p>
      <w:pPr>
        <w:widowControl/>
        <w:adjustRightInd w:val="0"/>
        <w:snapToGrid w:val="0"/>
        <w:ind w:firstLine="480" w:firstLineChars="200"/>
        <w:rPr>
          <w:rFonts w:ascii="宋体"/>
          <w:bCs/>
          <w:kern w:val="0"/>
        </w:rPr>
      </w:pPr>
      <w:r>
        <w:rPr>
          <w:rFonts w:hint="eastAsia" w:ascii="宋体"/>
          <w:bCs/>
          <w:kern w:val="0"/>
        </w:rPr>
        <w:t>重点发展先进的纯电动驱动汽车分布式、高容错和强实时控制系统，高效、智能和低噪音的电动化总成控制系统（电动汽车、电动转向、制动能量回馈控制系统），电动汽车的车载信息、智能充电及远程监控系统。积极谋划发展面向纯电动汽车大规模商业化示范的电控系统和下一代纯电驱动汽车电控系统。推动电控向分布式、高容错、集成化、智能化和低噪音方向发展。</w:t>
      </w:r>
    </w:p>
    <w:bookmarkEnd w:id="152"/>
    <w:p>
      <w:pPr>
        <w:widowControl/>
        <w:adjustRightInd w:val="0"/>
        <w:snapToGrid w:val="0"/>
        <w:ind w:firstLine="480" w:firstLineChars="200"/>
        <w:rPr>
          <w:rFonts w:ascii="宋体"/>
          <w:bCs/>
          <w:kern w:val="0"/>
        </w:rPr>
      </w:pPr>
      <w:bookmarkStart w:id="153" w:name="OLE_LINK38"/>
      <w:r>
        <w:rPr>
          <w:rFonts w:hint="eastAsia" w:ascii="宋体"/>
          <w:bCs/>
          <w:kern w:val="0"/>
        </w:rPr>
        <w:t>紧跟汽车智能控制关键技术，培育发展相关汽车电子产业，掌握智能辅助驾驶总体技术及各项关键技术，整车控制器具备与全球定位系统、地理信息系统和智能交通系统（</w:t>
      </w:r>
      <w:r>
        <w:rPr>
          <w:rFonts w:ascii="宋体"/>
          <w:bCs/>
          <w:kern w:val="0"/>
        </w:rPr>
        <w:t>GPS/GIS/ITS</w:t>
      </w:r>
      <w:r>
        <w:rPr>
          <w:rFonts w:hint="eastAsia" w:ascii="宋体"/>
          <w:bCs/>
          <w:kern w:val="0"/>
        </w:rPr>
        <w:t>）相结合的智能行驶控制功能，初步建立智能网络汽车自主研发体系及生产配套体系，培育行业优势企业。</w:t>
      </w:r>
      <w:bookmarkEnd w:id="153"/>
      <w:r>
        <w:rPr>
          <w:rFonts w:hint="eastAsia" w:ascii="宋体"/>
          <w:bCs/>
          <w:kern w:val="0"/>
        </w:rPr>
        <w:t>研究突破轻量化车身技术、整车集成技术、电驱动系统技术、能量存储系统技术、高压电器系统技术等方面技术难题。积极引导有研发生产基础的企业加快开发生产新能源汽车用智能充换电设备、电动真空系统、电动涡轮增压器等零部件，增加零部件生产品种，提高配套能力。</w:t>
      </w:r>
    </w:p>
    <w:bookmarkEnd w:id="134"/>
    <w:bookmarkEnd w:id="137"/>
    <w:bookmarkEnd w:id="141"/>
    <w:bookmarkEnd w:id="150"/>
    <w:p>
      <w:pPr>
        <w:pStyle w:val="126"/>
      </w:pPr>
      <w:bookmarkStart w:id="154" w:name="OLE_LINK6"/>
      <w:r>
        <w:rPr>
          <w:rFonts w:hint="eastAsia"/>
        </w:rPr>
        <w:t>新能源产业</w:t>
      </w:r>
    </w:p>
    <w:p>
      <w:pPr>
        <w:widowControl/>
        <w:adjustRightInd w:val="0"/>
        <w:snapToGrid w:val="0"/>
        <w:ind w:firstLine="480" w:firstLineChars="200"/>
        <w:rPr>
          <w:rFonts w:ascii="宋体"/>
          <w:bCs/>
          <w:kern w:val="0"/>
        </w:rPr>
      </w:pPr>
      <w:bookmarkStart w:id="155" w:name="OLE_LINK24"/>
      <w:bookmarkStart w:id="156" w:name="OLE_LINK48"/>
      <w:bookmarkStart w:id="157" w:name="OLE_LINK22"/>
      <w:r>
        <w:rPr>
          <w:rFonts w:hint="eastAsia" w:ascii="宋体"/>
          <w:bCs/>
          <w:kern w:val="0"/>
        </w:rPr>
        <w:t>（1）光电</w:t>
      </w:r>
    </w:p>
    <w:p>
      <w:pPr>
        <w:widowControl/>
        <w:adjustRightInd w:val="0"/>
        <w:snapToGrid w:val="0"/>
        <w:ind w:firstLine="480" w:firstLineChars="200"/>
        <w:rPr>
          <w:rFonts w:ascii="宋体"/>
          <w:bCs/>
          <w:kern w:val="0"/>
        </w:rPr>
      </w:pPr>
      <w:bookmarkStart w:id="158" w:name="OLE_LINK56"/>
      <w:bookmarkStart w:id="159" w:name="OLE_LINK21"/>
      <w:r>
        <w:rPr>
          <w:rFonts w:hint="eastAsia" w:ascii="宋体"/>
          <w:bCs/>
          <w:kern w:val="0"/>
        </w:rPr>
        <w:t>a）光伏制造</w:t>
      </w:r>
    </w:p>
    <w:p>
      <w:pPr>
        <w:widowControl/>
        <w:adjustRightInd w:val="0"/>
        <w:snapToGrid w:val="0"/>
        <w:ind w:firstLine="480" w:firstLineChars="200"/>
        <w:rPr>
          <w:rFonts w:ascii="宋体"/>
          <w:bCs/>
          <w:kern w:val="0"/>
        </w:rPr>
      </w:pPr>
      <w:bookmarkStart w:id="160" w:name="OLE_LINK57"/>
      <w:r>
        <w:rPr>
          <w:rFonts w:hint="eastAsia" w:ascii="宋体"/>
          <w:bCs/>
          <w:kern w:val="0"/>
        </w:rPr>
        <w:t>鼓励拓日新能源公司与相关科研单位合作，研发生产新型高效太阳能电池发电产品，建成光伏组件配套产业集聚区。</w:t>
      </w:r>
      <w:bookmarkEnd w:id="160"/>
      <w:r>
        <w:rPr>
          <w:rFonts w:ascii="宋体"/>
          <w:bCs/>
          <w:kern w:val="0"/>
        </w:rPr>
        <w:t>扶持</w:t>
      </w:r>
      <w:r>
        <w:rPr>
          <w:rFonts w:hint="eastAsia" w:ascii="宋体"/>
          <w:bCs/>
          <w:kern w:val="0"/>
        </w:rPr>
        <w:t>已有新能源企业</w:t>
      </w:r>
      <w:r>
        <w:rPr>
          <w:rFonts w:ascii="宋体"/>
          <w:bCs/>
          <w:kern w:val="0"/>
        </w:rPr>
        <w:t>快速发展壮大，同时通过招商引资，吸引战略合作者投资我市光伏产业，形成以几家骨干企业为支撑、一批中小企业协作配套的产业发展格局。</w:t>
      </w:r>
      <w:bookmarkEnd w:id="155"/>
      <w:r>
        <w:rPr>
          <w:rFonts w:ascii="宋体"/>
          <w:bCs/>
          <w:kern w:val="0"/>
        </w:rPr>
        <w:t>上游以</w:t>
      </w:r>
      <w:r>
        <w:rPr>
          <w:rFonts w:hint="eastAsia" w:ascii="宋体"/>
          <w:bCs/>
          <w:kern w:val="0"/>
        </w:rPr>
        <w:t>高纯多晶硅原料、晶体硅材料</w:t>
      </w:r>
      <w:r>
        <w:rPr>
          <w:rFonts w:ascii="宋体"/>
          <w:bCs/>
          <w:kern w:val="0"/>
        </w:rPr>
        <w:t>为主导，下游以太阳能电池切片、太阳能电池组件为主导，同时发展协作配套企业。充分利用光伏产业的辐射和带动作用，拓展、延长光伏产业链，积极吸引更多的企业发展光伏产业和相关产品。积极开发市场前景广阔、技术水平高、附加值高的太阳能电池应用产品和太阳能应用的核心部件产品以及能带动广大中小企业发展的光伏产业应用产品，如：各种太阳能灯、各种太阳能玩具、LED灯、储能电池、超白玻璃、太阳能空调（特别是与汽车油路相分离的车载太阳能空调）、光伏水泵等。谋划引进配套光伏一体化建筑的各种材料项目，如隔热材料、透光</w:t>
      </w:r>
      <w:bookmarkStart w:id="161" w:name="OLE_LINK60"/>
      <w:r>
        <w:rPr>
          <w:rFonts w:ascii="宋体"/>
          <w:bCs/>
          <w:kern w:val="0"/>
        </w:rPr>
        <w:t>材料、储能材料、智能窗（变色玻璃）、透明隔热材料等。</w:t>
      </w:r>
    </w:p>
    <w:p>
      <w:pPr>
        <w:widowControl/>
        <w:adjustRightInd w:val="0"/>
        <w:snapToGrid w:val="0"/>
        <w:ind w:firstLine="480" w:firstLineChars="200"/>
        <w:rPr>
          <w:rFonts w:ascii="宋体"/>
          <w:bCs/>
          <w:kern w:val="0"/>
        </w:rPr>
      </w:pPr>
      <w:r>
        <w:rPr>
          <w:rFonts w:hint="eastAsia" w:ascii="宋体"/>
          <w:bCs/>
          <w:kern w:val="0"/>
        </w:rPr>
        <w:t>b）电站项目建设</w:t>
      </w:r>
    </w:p>
    <w:bookmarkEnd w:id="156"/>
    <w:bookmarkEnd w:id="158"/>
    <w:bookmarkEnd w:id="161"/>
    <w:p>
      <w:pPr>
        <w:widowControl/>
        <w:adjustRightInd w:val="0"/>
        <w:snapToGrid w:val="0"/>
        <w:ind w:firstLine="480" w:firstLineChars="200"/>
        <w:rPr>
          <w:rFonts w:ascii="宋体"/>
          <w:bCs/>
          <w:kern w:val="0"/>
        </w:rPr>
      </w:pPr>
      <w:bookmarkStart w:id="162" w:name="OLE_LINK59"/>
      <w:bookmarkStart w:id="163" w:name="OLE_LINK61"/>
      <w:r>
        <w:rPr>
          <w:rFonts w:hint="eastAsia" w:ascii="宋体"/>
          <w:bCs/>
          <w:kern w:val="0"/>
        </w:rPr>
        <w:t>将光伏发电与传统农业有机结合，探索出一条符合政策的光伏产业发展道路，将我市打造成西北乃至全国最大的光伏农业示范基地。</w:t>
      </w:r>
      <w:bookmarkStart w:id="164" w:name="OLE_LINK62"/>
      <w:r>
        <w:rPr>
          <w:rFonts w:hint="eastAsia" w:ascii="宋体"/>
          <w:bCs/>
          <w:kern w:val="0"/>
        </w:rPr>
        <w:t>我国已于2015年启动了大同100万千瓦的光伏领跑者示范基地建设，截至2016年6月30日已全部并网发电；2016年光伏领跑者技术基地规模为550万千瓦，共批复8个基地，目前已全部完成投资商优选，项目进入实质化建设阶段。未来几年国家能源局还要启动多个百万千瓦规模的光伏领跑者示范基地建设工作。按照这一要求，规划打造渭北黄土旱塬太阳能光伏发电领跑者示范基地，将本基地建成国家光伏新技术示范地、农光互补领跑者技术实践地、先进技术聚集地，从而进一步推动渭南地区光伏产业链的发展完善。</w:t>
      </w:r>
    </w:p>
    <w:bookmarkEnd w:id="164"/>
    <w:p>
      <w:pPr>
        <w:widowControl/>
        <w:adjustRightInd w:val="0"/>
        <w:snapToGrid w:val="0"/>
        <w:ind w:firstLine="480" w:firstLineChars="200"/>
        <w:rPr>
          <w:rFonts w:ascii="宋体"/>
          <w:bCs/>
          <w:kern w:val="0"/>
        </w:rPr>
      </w:pPr>
      <w:r>
        <w:rPr>
          <w:rFonts w:hint="eastAsia" w:ascii="宋体"/>
          <w:bCs/>
          <w:kern w:val="0"/>
        </w:rPr>
        <w:t>结合新区建设、体育场馆、剧院等具有一定规模的建筑群以及农村的屋顶、院落资源等，推广分布式光伏发电项目。由政府统一规划、统一招标、统一组织实施，加大宣传力度，鼓励企业和民众积极参与分布式光伏的建设应用，先建设1-2个具有一定规模的分布式光伏电站示范项目，逐步推广应用，建设国内领先的分布式电站的技术引领和应用示范基地。</w:t>
      </w:r>
    </w:p>
    <w:p>
      <w:pPr>
        <w:widowControl/>
        <w:adjustRightInd w:val="0"/>
        <w:snapToGrid w:val="0"/>
        <w:ind w:firstLine="480" w:firstLineChars="200"/>
        <w:rPr>
          <w:rFonts w:ascii="宋体"/>
          <w:bCs/>
          <w:kern w:val="0"/>
        </w:rPr>
      </w:pPr>
      <w:r>
        <w:rPr>
          <w:rFonts w:ascii="宋体"/>
          <w:bCs/>
          <w:kern w:val="0"/>
        </w:rPr>
        <w:t>c）</w:t>
      </w:r>
      <w:r>
        <w:rPr>
          <w:rFonts w:hint="eastAsia" w:ascii="宋体"/>
          <w:bCs/>
          <w:kern w:val="0"/>
        </w:rPr>
        <w:t>澄城“煤</w:t>
      </w:r>
      <w:r>
        <w:rPr>
          <w:rFonts w:ascii="宋体"/>
          <w:bCs/>
          <w:kern w:val="0"/>
        </w:rPr>
        <w:t>-电-铝</w:t>
      </w:r>
      <w:r>
        <w:rPr>
          <w:rFonts w:hint="eastAsia" w:ascii="宋体"/>
          <w:bCs/>
          <w:kern w:val="0"/>
        </w:rPr>
        <w:t>-</w:t>
      </w:r>
      <w:r>
        <w:rPr>
          <w:rFonts w:ascii="宋体"/>
          <w:bCs/>
          <w:kern w:val="0"/>
        </w:rPr>
        <w:t>铝合金支架-电站</w:t>
      </w:r>
      <w:r>
        <w:rPr>
          <w:rFonts w:hint="eastAsia" w:ascii="宋体"/>
          <w:bCs/>
          <w:kern w:val="0"/>
        </w:rPr>
        <w:t>”</w:t>
      </w:r>
      <w:r>
        <w:rPr>
          <w:rFonts w:ascii="宋体"/>
          <w:bCs/>
          <w:kern w:val="0"/>
        </w:rPr>
        <w:t>产业链延伸</w:t>
      </w:r>
    </w:p>
    <w:p>
      <w:pPr>
        <w:adjustRightInd w:val="0"/>
        <w:snapToGrid w:val="0"/>
        <w:ind w:firstLine="480" w:firstLineChars="200"/>
        <w:rPr>
          <w:bCs/>
        </w:rPr>
      </w:pPr>
      <w:r>
        <w:rPr>
          <w:rFonts w:hint="eastAsia" w:ascii="宋体"/>
          <w:bCs/>
          <w:kern w:val="0"/>
        </w:rPr>
        <w:t>渭南市</w:t>
      </w:r>
      <w:r>
        <w:rPr>
          <w:rFonts w:hint="eastAsia"/>
          <w:bCs/>
        </w:rPr>
        <w:t>澄城拥有</w:t>
      </w:r>
      <w:r>
        <w:rPr>
          <w:bCs/>
        </w:rPr>
        <w:t>40</w:t>
      </w:r>
      <w:r>
        <w:rPr>
          <w:rFonts w:hint="eastAsia"/>
          <w:bCs/>
        </w:rPr>
        <w:t>亿吨煤炭、</w:t>
      </w:r>
      <w:r>
        <w:rPr>
          <w:bCs/>
        </w:rPr>
        <w:t>8000</w:t>
      </w:r>
      <w:r>
        <w:rPr>
          <w:rFonts w:hint="eastAsia"/>
          <w:bCs/>
        </w:rPr>
        <w:t>万吨铝土矿的丰富储量，</w:t>
      </w:r>
      <w:r>
        <w:rPr>
          <w:bCs/>
        </w:rPr>
        <w:t>已经初步</w:t>
      </w:r>
      <w:r>
        <w:rPr>
          <w:rFonts w:hint="eastAsia"/>
          <w:bCs/>
        </w:rPr>
        <w:t>形成了以煤电铝、煤电硅、煤电光伏等相互融合、循环利用的重点工业区。</w:t>
      </w:r>
    </w:p>
    <w:p>
      <w:pPr>
        <w:widowControl/>
        <w:adjustRightInd w:val="0"/>
        <w:snapToGrid w:val="0"/>
        <w:ind w:firstLine="480" w:firstLineChars="200"/>
        <w:rPr>
          <w:rFonts w:ascii="宋体"/>
          <w:bCs/>
          <w:kern w:val="0"/>
        </w:rPr>
      </w:pPr>
      <w:r>
        <w:rPr>
          <w:rFonts w:ascii="宋体"/>
          <w:bCs/>
          <w:kern w:val="0"/>
        </w:rPr>
        <w:t>建设光伏发电项目使用铝合金支架优势已越发明显，铝合金与钢材相比，具有密度小、强度高、耐蚀性好等特点，铝合金相比钢材具有较高的比强度，因此采用铝合金支架满足同样强度要求情况下可以大幅度减小支架结构的自重，比起钢支架更加便于现场支架安装，应用于复杂山地光伏项目优势明显</w:t>
      </w:r>
      <w:r>
        <w:rPr>
          <w:rFonts w:hint="eastAsia" w:ascii="宋体"/>
          <w:bCs/>
          <w:kern w:val="0"/>
        </w:rPr>
        <w:t>。</w:t>
      </w:r>
      <w:r>
        <w:rPr>
          <w:rFonts w:ascii="宋体"/>
          <w:bCs/>
          <w:kern w:val="0"/>
        </w:rPr>
        <w:t>铝合金支架是</w:t>
      </w:r>
      <w:r>
        <w:rPr>
          <w:rFonts w:hint="eastAsia" w:ascii="宋体"/>
          <w:bCs/>
          <w:kern w:val="0"/>
        </w:rPr>
        <w:t>未来</w:t>
      </w:r>
      <w:r>
        <w:rPr>
          <w:rFonts w:ascii="宋体"/>
          <w:bCs/>
          <w:kern w:val="0"/>
        </w:rPr>
        <w:t>光伏电站建设支架的重要发展和应用方向。</w:t>
      </w:r>
    </w:p>
    <w:p>
      <w:pPr>
        <w:widowControl/>
        <w:adjustRightInd w:val="0"/>
        <w:snapToGrid w:val="0"/>
        <w:ind w:firstLine="480" w:firstLineChars="200"/>
      </w:pPr>
      <w:r>
        <w:rPr>
          <w:rFonts w:hint="eastAsia" w:ascii="宋体"/>
          <w:bCs/>
          <w:kern w:val="0"/>
        </w:rPr>
        <w:t>渭南市</w:t>
      </w:r>
      <w:r>
        <w:rPr>
          <w:rFonts w:ascii="宋体"/>
          <w:bCs/>
          <w:kern w:val="0"/>
        </w:rPr>
        <w:t>十三五</w:t>
      </w:r>
      <w:r>
        <w:rPr>
          <w:rFonts w:hint="eastAsia" w:ascii="宋体"/>
          <w:bCs/>
          <w:kern w:val="0"/>
        </w:rPr>
        <w:t>期间</w:t>
      </w:r>
      <w:r>
        <w:rPr>
          <w:rFonts w:ascii="宋体"/>
          <w:bCs/>
          <w:kern w:val="0"/>
        </w:rPr>
        <w:t>规划新增光伏装机容量25</w:t>
      </w:r>
      <w:r>
        <w:rPr>
          <w:rFonts w:hint="eastAsia" w:ascii="宋体"/>
          <w:bCs/>
          <w:kern w:val="0"/>
        </w:rPr>
        <w:t>00MW，预计</w:t>
      </w:r>
      <w:r>
        <w:rPr>
          <w:rFonts w:ascii="宋体"/>
          <w:bCs/>
          <w:kern w:val="0"/>
        </w:rPr>
        <w:t>使用铝合金型材50</w:t>
      </w:r>
      <w:r>
        <w:rPr>
          <w:rFonts w:hint="eastAsia" w:ascii="宋体"/>
          <w:bCs/>
          <w:kern w:val="0"/>
        </w:rPr>
        <w:t>000</w:t>
      </w:r>
      <w:r>
        <w:rPr>
          <w:rFonts w:ascii="宋体"/>
          <w:bCs/>
          <w:kern w:val="0"/>
        </w:rPr>
        <w:t>t，</w:t>
      </w:r>
      <w:r>
        <w:rPr>
          <w:rFonts w:hint="eastAsia" w:ascii="宋体"/>
          <w:bCs/>
          <w:kern w:val="0"/>
        </w:rPr>
        <w:t>拓展</w:t>
      </w:r>
      <w:r>
        <w:rPr>
          <w:rFonts w:ascii="宋体"/>
          <w:bCs/>
          <w:kern w:val="0"/>
        </w:rPr>
        <w:t>延伸</w:t>
      </w:r>
      <w:r>
        <w:rPr>
          <w:rFonts w:hint="eastAsia" w:ascii="宋体"/>
          <w:bCs/>
          <w:kern w:val="0"/>
        </w:rPr>
        <w:t>铝合金</w:t>
      </w:r>
      <w:r>
        <w:rPr>
          <w:rFonts w:ascii="宋体"/>
          <w:bCs/>
          <w:kern w:val="0"/>
        </w:rPr>
        <w:t>支架产业链，</w:t>
      </w:r>
      <w:r>
        <w:rPr>
          <w:rFonts w:hint="eastAsia" w:ascii="宋体"/>
          <w:bCs/>
          <w:kern w:val="0"/>
        </w:rPr>
        <w:t>可</w:t>
      </w:r>
      <w:r>
        <w:rPr>
          <w:rFonts w:ascii="宋体"/>
          <w:bCs/>
          <w:kern w:val="0"/>
        </w:rPr>
        <w:t>有效</w:t>
      </w:r>
      <w:r>
        <w:rPr>
          <w:rFonts w:hint="eastAsia" w:ascii="宋体"/>
          <w:bCs/>
          <w:kern w:val="0"/>
        </w:rPr>
        <w:t>化解</w:t>
      </w:r>
      <w:r>
        <w:rPr>
          <w:rFonts w:ascii="宋体"/>
          <w:bCs/>
          <w:kern w:val="0"/>
        </w:rPr>
        <w:t>企业铝产能，促进</w:t>
      </w:r>
      <w:r>
        <w:rPr>
          <w:rFonts w:hint="eastAsia" w:ascii="宋体"/>
          <w:bCs/>
          <w:kern w:val="0"/>
        </w:rPr>
        <w:t>现有</w:t>
      </w:r>
      <w:r>
        <w:rPr>
          <w:rFonts w:ascii="宋体"/>
          <w:bCs/>
          <w:kern w:val="0"/>
        </w:rPr>
        <w:t>产能存量优化转化，</w:t>
      </w:r>
      <w:r>
        <w:rPr>
          <w:rFonts w:hint="eastAsia" w:ascii="宋体"/>
          <w:bCs/>
          <w:kern w:val="0"/>
        </w:rPr>
        <w:t>提升</w:t>
      </w:r>
      <w:r>
        <w:rPr>
          <w:rFonts w:ascii="宋体"/>
          <w:bCs/>
          <w:kern w:val="0"/>
        </w:rPr>
        <w:t>增量、增加项目经济效益</w:t>
      </w:r>
      <w:r>
        <w:rPr>
          <w:rFonts w:hint="eastAsia" w:ascii="宋体"/>
          <w:bCs/>
          <w:kern w:val="0"/>
        </w:rPr>
        <w:t>，提升</w:t>
      </w:r>
      <w:r>
        <w:rPr>
          <w:rFonts w:ascii="宋体"/>
          <w:bCs/>
          <w:kern w:val="0"/>
        </w:rPr>
        <w:t>企业的核心竞争力。</w:t>
      </w:r>
    </w:p>
    <w:bookmarkEnd w:id="157"/>
    <w:bookmarkEnd w:id="159"/>
    <w:bookmarkEnd w:id="162"/>
    <w:bookmarkEnd w:id="163"/>
    <w:p>
      <w:pPr>
        <w:widowControl/>
        <w:numPr>
          <w:ilvl w:val="0"/>
          <w:numId w:val="20"/>
        </w:numPr>
        <w:adjustRightInd w:val="0"/>
        <w:snapToGrid w:val="0"/>
        <w:ind w:firstLine="480" w:firstLineChars="200"/>
        <w:rPr>
          <w:rFonts w:ascii="宋体"/>
          <w:bCs/>
          <w:kern w:val="0"/>
        </w:rPr>
      </w:pPr>
      <w:bookmarkStart w:id="165" w:name="OLE_LINK49"/>
      <w:r>
        <w:rPr>
          <w:rFonts w:hint="eastAsia" w:ascii="宋体"/>
          <w:bCs/>
          <w:kern w:val="0"/>
        </w:rPr>
        <w:t>风电</w:t>
      </w:r>
    </w:p>
    <w:p>
      <w:pPr>
        <w:widowControl/>
        <w:adjustRightInd w:val="0"/>
        <w:snapToGrid w:val="0"/>
        <w:ind w:firstLine="480" w:firstLineChars="200"/>
        <w:rPr>
          <w:rFonts w:ascii="仿宋_GB2312" w:hAnsi="宋体" w:cs="宋体"/>
          <w:bCs/>
          <w:kern w:val="0"/>
          <w:szCs w:val="32"/>
        </w:rPr>
      </w:pPr>
      <w:bookmarkStart w:id="166" w:name="OLE_LINK65"/>
      <w:bookmarkStart w:id="167" w:name="OLE_LINK44"/>
      <w:r>
        <w:rPr>
          <w:rFonts w:hint="eastAsia" w:ascii="仿宋_GB2312" w:hAnsi="宋体" w:cs="宋体"/>
          <w:bCs/>
          <w:kern w:val="0"/>
          <w:szCs w:val="32"/>
        </w:rPr>
        <w:t>重点选择和支持实力雄厚、经验丰富、投资积极性高、有信誉和社会责任感强的大企业集团参与渭南市的风能资源开发利用和投资建设，确保风电项目建设速度和运营质量，并实现风能资源的规模化、产业化开发利用。加快潼关中广核、国华、华润等风电项目建设，至2018年完成风电项目装机容量300MW以上。</w:t>
      </w:r>
    </w:p>
    <w:p>
      <w:pPr>
        <w:widowControl/>
        <w:adjustRightInd w:val="0"/>
        <w:snapToGrid w:val="0"/>
        <w:ind w:firstLine="480" w:firstLineChars="200"/>
        <w:rPr>
          <w:rFonts w:ascii="仿宋_GB2312" w:hAnsi="宋体" w:cs="宋体"/>
          <w:bCs/>
          <w:kern w:val="0"/>
          <w:szCs w:val="32"/>
        </w:rPr>
      </w:pPr>
      <w:r>
        <w:rPr>
          <w:rFonts w:hint="eastAsia" w:ascii="仿宋_GB2312" w:hAnsi="宋体" w:cs="宋体"/>
          <w:bCs/>
          <w:kern w:val="0"/>
          <w:szCs w:val="32"/>
        </w:rPr>
        <w:t>风能开发投资规模大，产业链之间技术关联程度高，规模经济性强，其成长空间和市场潜力巨大。渭南市应把握产业发展政策的机遇，积极争取大型风电开发企业在渭南市设立风能开发研究机构和装备制造生产公司，从资源开发利用入手，向上游和下游产业拓展，实现风电设备的本地化，通过对产业链的构建和延伸，形成以风能开发和风能设备制造为核心的产业聚集区和配套生产基地，最终形成风能产业集群发展。</w:t>
      </w:r>
    </w:p>
    <w:p>
      <w:pPr>
        <w:widowControl/>
        <w:adjustRightInd w:val="0"/>
        <w:snapToGrid w:val="0"/>
        <w:ind w:firstLine="480" w:firstLineChars="200"/>
        <w:rPr>
          <w:rFonts w:ascii="仿宋_GB2312" w:hAnsi="宋体" w:cs="宋体"/>
          <w:bCs/>
          <w:kern w:val="0"/>
          <w:szCs w:val="32"/>
        </w:rPr>
      </w:pPr>
      <w:r>
        <w:rPr>
          <w:rFonts w:hint="eastAsia" w:ascii="仿宋_GB2312" w:hAnsi="宋体" w:cs="宋体"/>
          <w:bCs/>
          <w:kern w:val="0"/>
          <w:szCs w:val="32"/>
        </w:rPr>
        <w:t>尽快与有实力的风电企业开展合作，充分利用和挖掘渭南市风能资源，运用风电新技术和新设备，使低风速风能得到有效利用，尽早形成风电的规模化建设和组团式推进的格局，以大规模的风电装机引进风电装备制造企业和项目落地，使风力发电与风电配套产业同步推进。</w:t>
      </w:r>
    </w:p>
    <w:p>
      <w:pPr>
        <w:widowControl/>
        <w:adjustRightInd w:val="0"/>
        <w:snapToGrid w:val="0"/>
        <w:ind w:firstLine="480" w:firstLineChars="200"/>
        <w:rPr>
          <w:rFonts w:ascii="宋体"/>
          <w:bCs/>
          <w:kern w:val="0"/>
        </w:rPr>
      </w:pPr>
      <w:r>
        <w:rPr>
          <w:rFonts w:hint="eastAsia" w:ascii="仿宋_GB2312" w:hAnsi="宋体" w:cs="宋体"/>
          <w:bCs/>
          <w:kern w:val="0"/>
          <w:szCs w:val="32"/>
        </w:rPr>
        <w:t>当前，可重点引进风机塔筒厂家，特别是适合低风速区的混凝土高塔架生产厂家。</w:t>
      </w:r>
    </w:p>
    <w:bookmarkEnd w:id="165"/>
    <w:bookmarkEnd w:id="166"/>
    <w:bookmarkEnd w:id="167"/>
    <w:p>
      <w:pPr>
        <w:widowControl/>
        <w:adjustRightInd w:val="0"/>
        <w:snapToGrid w:val="0"/>
        <w:ind w:firstLine="480" w:firstLineChars="200"/>
        <w:rPr>
          <w:rFonts w:ascii="仿宋_GB2312" w:hAnsi="仿宋_GB2312" w:cs="仿宋_GB2312"/>
          <w:bCs/>
          <w:kern w:val="0"/>
          <w:szCs w:val="32"/>
        </w:rPr>
      </w:pPr>
      <w:bookmarkStart w:id="168" w:name="OLE_LINK50"/>
      <w:bookmarkStart w:id="169" w:name="OLE_LINK63"/>
      <w:r>
        <w:rPr>
          <w:rFonts w:hint="eastAsia" w:ascii="仿宋_GB2312" w:hAnsi="仿宋_GB2312" w:cs="仿宋_GB2312"/>
          <w:bCs/>
          <w:kern w:val="0"/>
          <w:szCs w:val="32"/>
        </w:rPr>
        <w:t>（3）地热</w:t>
      </w:r>
    </w:p>
    <w:p>
      <w:pPr>
        <w:widowControl/>
        <w:adjustRightInd w:val="0"/>
        <w:snapToGrid w:val="0"/>
        <w:ind w:firstLine="480" w:firstLineChars="200"/>
        <w:rPr>
          <w:rFonts w:ascii="仿宋_GB2312" w:hAnsi="宋体"/>
          <w:szCs w:val="32"/>
        </w:rPr>
      </w:pPr>
      <w:bookmarkStart w:id="170" w:name="OLE_LINK66"/>
      <w:bookmarkStart w:id="171" w:name="OLE_LINK47"/>
      <w:r>
        <w:rPr>
          <w:rFonts w:hint="eastAsia" w:ascii="仿宋_GB2312" w:hAnsi="宋体"/>
          <w:szCs w:val="32"/>
        </w:rPr>
        <w:t>依托渭南市优质地热资源，在完善资源节约与保护机制的基础上，高水平起步、大规模开发、大项目支撑，全力推进地热资源的产业化开发。</w:t>
      </w:r>
      <w:r>
        <w:rPr>
          <w:rFonts w:hint="eastAsia"/>
        </w:rPr>
        <w:t>推动深、浅层地热能在制冷供暖方面的规模化应用，2018年地热供暖面积达到300万m</w:t>
      </w:r>
      <w:r>
        <w:rPr>
          <w:rFonts w:hint="eastAsia"/>
          <w:vertAlign w:val="superscript"/>
        </w:rPr>
        <w:t>2</w:t>
      </w:r>
      <w:r>
        <w:rPr>
          <w:rFonts w:hint="eastAsia"/>
        </w:rPr>
        <w:t>，启动实施地热能伴生气先导性开发项目，实现水溶气资源规模化开发利用。</w:t>
      </w:r>
    </w:p>
    <w:p>
      <w:pPr>
        <w:widowControl/>
        <w:adjustRightInd w:val="0"/>
        <w:snapToGrid w:val="0"/>
        <w:ind w:firstLine="480" w:firstLineChars="200"/>
        <w:rPr>
          <w:rFonts w:ascii="仿宋_GB2312" w:hAnsi="仿宋_GB2312" w:cs="仿宋_GB2312"/>
          <w:bCs/>
          <w:kern w:val="0"/>
          <w:szCs w:val="32"/>
        </w:rPr>
      </w:pPr>
      <w:r>
        <w:rPr>
          <w:rFonts w:hint="eastAsia" w:ascii="仿宋_GB2312" w:hAnsi="仿宋_GB2312" w:cs="仿宋_GB2312"/>
          <w:bCs/>
          <w:kern w:val="0"/>
          <w:szCs w:val="32"/>
        </w:rPr>
        <w:t>以试点和示范性带动为主要措施，依托我市已钻凿出的5口地热井，积极推进地热能勘查评价及开发利用示范区建设。重点进行地热及水溶气利用的模式、效益及其环境影响评价等内容的试点和示范，充分发挥地热能源的优势，实现试点区域的良性循环，提高资源利用率，减少对环境的污染，从而带动更大区域的开发，达到保护和合理利用地热资源的目的。</w:t>
      </w:r>
    </w:p>
    <w:p>
      <w:pPr>
        <w:widowControl/>
        <w:adjustRightInd w:val="0"/>
        <w:snapToGrid w:val="0"/>
        <w:ind w:firstLine="480" w:firstLineChars="200"/>
        <w:rPr>
          <w:rFonts w:ascii="仿宋_GB2312" w:hAnsi="仿宋_GB2312" w:cs="仿宋_GB2312"/>
          <w:bCs/>
          <w:kern w:val="0"/>
          <w:szCs w:val="32"/>
        </w:rPr>
      </w:pPr>
      <w:r>
        <w:rPr>
          <w:rFonts w:hint="eastAsia" w:ascii="仿宋_GB2312" w:hAnsi="仿宋_GB2312" w:cs="仿宋_GB2312"/>
          <w:bCs/>
          <w:kern w:val="0"/>
          <w:szCs w:val="32"/>
        </w:rPr>
        <w:t>以推动地热和水溶气科学发展为目的，根据地热资源和水溶气的自身特性，加强对地热和水溶气资源勘查开发利用的统一监管和保护。坚持“科学论证、统一规划、综合开发、环境保护”的原则，做好勘查开发工作，防止引发地面沉降和其它地质环境问题，采取行政、经济、技术等措施，在保护地热及水溶性资源和环境条件下，努力提高地热资源的利用效率，保障地热能资源可持续利用，引导和壮大我市地热及水溶气产业的快速发展。</w:t>
      </w:r>
    </w:p>
    <w:p>
      <w:pPr>
        <w:widowControl/>
        <w:adjustRightInd w:val="0"/>
        <w:snapToGrid w:val="0"/>
        <w:ind w:firstLine="480" w:firstLineChars="200"/>
        <w:rPr>
          <w:rFonts w:ascii="仿宋_GB2312" w:hAnsi="仿宋_GB2312" w:cs="仿宋_GB2312"/>
          <w:bCs/>
          <w:kern w:val="0"/>
          <w:szCs w:val="32"/>
        </w:rPr>
      </w:pPr>
      <w:r>
        <w:rPr>
          <w:rFonts w:hint="eastAsia" w:ascii="仿宋_GB2312" w:hAnsi="仿宋_GB2312" w:cs="仿宋_GB2312"/>
          <w:bCs/>
          <w:kern w:val="0"/>
          <w:szCs w:val="32"/>
        </w:rPr>
        <w:t>依托渭南地热资源的优势，用战略和眼光，引进有实力的投资公司或投资集团，签订战略合作协议，对投资渭</w:t>
      </w:r>
      <w:bookmarkEnd w:id="170"/>
      <w:r>
        <w:rPr>
          <w:rFonts w:hint="eastAsia" w:ascii="仿宋_GB2312" w:hAnsi="仿宋_GB2312" w:cs="仿宋_GB2312"/>
          <w:bCs/>
          <w:kern w:val="0"/>
          <w:szCs w:val="32"/>
        </w:rPr>
        <w:t>南地热资源开发和综合利用项目给予优惠和支持，共同将渭南打造为全省地热综合利用开发示范区。渭南市将进一步完善政策，强化服务，为开发建设渭南地热能源的投资者提供良好的条件和环境。</w:t>
      </w:r>
    </w:p>
    <w:bookmarkEnd w:id="168"/>
    <w:p>
      <w:pPr>
        <w:widowControl/>
        <w:adjustRightInd w:val="0"/>
        <w:snapToGrid w:val="0"/>
        <w:ind w:firstLine="480" w:firstLineChars="200"/>
        <w:rPr>
          <w:rFonts w:ascii="宋体"/>
          <w:bCs/>
          <w:kern w:val="0"/>
        </w:rPr>
      </w:pPr>
      <w:r>
        <w:rPr>
          <w:rFonts w:hint="eastAsia" w:ascii="宋体"/>
          <w:bCs/>
          <w:kern w:val="0"/>
        </w:rPr>
        <w:t>（4）生物质能</w:t>
      </w:r>
    </w:p>
    <w:p>
      <w:pPr>
        <w:widowControl/>
        <w:adjustRightInd w:val="0"/>
        <w:snapToGrid w:val="0"/>
        <w:ind w:firstLine="480" w:firstLineChars="200"/>
        <w:rPr>
          <w:rFonts w:ascii="仿宋_GB2312" w:hAnsi="仿宋_GB2312" w:cs="仿宋_GB2312"/>
          <w:bCs/>
          <w:kern w:val="0"/>
          <w:szCs w:val="32"/>
        </w:rPr>
      </w:pPr>
      <w:r>
        <w:rPr>
          <w:rFonts w:hint="eastAsia" w:ascii="仿宋_GB2312" w:hAnsi="仿宋_GB2312" w:cs="仿宋_GB2312"/>
          <w:bCs/>
          <w:kern w:val="0"/>
          <w:szCs w:val="32"/>
        </w:rPr>
        <w:t>农业生物质发电是一个新的领域，许多人不知道利用秸秆为原料可以建设发电厂。没把秸秆作为重要资源来看待，利用秸秆的主动性、自觉性差。农民群众是生物质发电原料唯一的提供者，要充分发挥宣传引导作用，加大宣传教育力度，提高农民的资源节约意识和环境保护意识，引导农民群众科学合理的利用秸秆。要以充分调动农民的积极性、主动性和创造性为目标，组织人力，深入基层，广泛开展政策宣传、技能培训、安全教育等工作，为农民搭建技术交流、信息传播和知识普及的平台，要通过建立示范推广基地、召开现场会、举办培训班等多种形式，使农民群众进一步了生物质能源的利用方式。为生物质发电项目生产提供充足、稳定的燃料保障。</w:t>
      </w:r>
    </w:p>
    <w:p>
      <w:pPr>
        <w:widowControl/>
        <w:adjustRightInd w:val="0"/>
        <w:snapToGrid w:val="0"/>
        <w:ind w:firstLine="480" w:firstLineChars="200"/>
        <w:rPr>
          <w:rFonts w:ascii="仿宋_GB2312" w:hAnsi="仿宋_GB2312" w:cs="仿宋_GB2312"/>
          <w:bCs/>
          <w:kern w:val="0"/>
          <w:szCs w:val="32"/>
        </w:rPr>
      </w:pPr>
      <w:r>
        <w:rPr>
          <w:rFonts w:hint="eastAsia" w:ascii="仿宋_GB2312" w:hAnsi="仿宋_GB2312" w:cs="仿宋_GB2312"/>
          <w:bCs/>
          <w:kern w:val="0"/>
          <w:szCs w:val="32"/>
        </w:rPr>
        <w:t>生物质燃料的可靠供应是生物质发电产业健康发展的有力保证。采取现代运作方式充分调动广大农民的积极性，获得广大农民对生物质发电的支持，最终建立健全秸秆收购的服务网络。此外，还要引进生物质燃料收储运的专用设备，建立相关的行业标准和技术规程，使生物质发电走上规范化发展的道路。</w:t>
      </w:r>
    </w:p>
    <w:bookmarkEnd w:id="154"/>
    <w:bookmarkEnd w:id="169"/>
    <w:bookmarkEnd w:id="171"/>
    <w:p>
      <w:pPr>
        <w:pStyle w:val="126"/>
      </w:pPr>
      <w:bookmarkStart w:id="172" w:name="OLE_LINK97"/>
      <w:r>
        <w:rPr>
          <w:rFonts w:hint="eastAsia"/>
        </w:rPr>
        <w:t>新材料产业</w:t>
      </w:r>
    </w:p>
    <w:bookmarkEnd w:id="172"/>
    <w:p>
      <w:pPr>
        <w:widowControl/>
        <w:adjustRightInd w:val="0"/>
        <w:snapToGrid w:val="0"/>
        <w:ind w:firstLine="480" w:firstLineChars="200"/>
        <w:rPr>
          <w:rFonts w:ascii="宋体"/>
          <w:bCs/>
          <w:kern w:val="0"/>
        </w:rPr>
      </w:pPr>
      <w:bookmarkStart w:id="173" w:name="OLE_LINK79"/>
      <w:bookmarkStart w:id="174" w:name="OLE_LINK80"/>
      <w:bookmarkStart w:id="175" w:name="OLE_LINK11"/>
      <w:bookmarkStart w:id="176" w:name="OLE_LINK78"/>
      <w:r>
        <w:rPr>
          <w:rFonts w:hint="eastAsia" w:ascii="宋体"/>
          <w:bCs/>
          <w:kern w:val="0"/>
        </w:rPr>
        <w:t>（1）航空铝材产业</w:t>
      </w:r>
    </w:p>
    <w:bookmarkEnd w:id="173"/>
    <w:p>
      <w:pPr>
        <w:widowControl/>
        <w:adjustRightInd w:val="0"/>
        <w:snapToGrid w:val="0"/>
        <w:ind w:firstLine="480" w:firstLineChars="200"/>
        <w:rPr>
          <w:rFonts w:ascii="宋体"/>
          <w:bCs/>
          <w:kern w:val="0"/>
        </w:rPr>
      </w:pPr>
      <w:bookmarkStart w:id="177" w:name="OLE_LINK86"/>
      <w:r>
        <w:rPr>
          <w:rFonts w:hint="eastAsia" w:ascii="宋体"/>
          <w:bCs/>
          <w:kern w:val="0"/>
        </w:rPr>
        <w:t>充分发挥铝电资源优势，发展航空铝材产业，</w:t>
      </w:r>
      <w:bookmarkEnd w:id="177"/>
      <w:r>
        <w:rPr>
          <w:rFonts w:hint="eastAsia" w:ascii="宋体"/>
          <w:bCs/>
          <w:kern w:val="0"/>
        </w:rPr>
        <w:t>加快富平西飞铝业、富平镁基锂电池等项目建设。</w:t>
      </w:r>
      <w:bookmarkStart w:id="178" w:name="OLE_LINK88"/>
      <w:r>
        <w:rPr>
          <w:rFonts w:hint="eastAsia" w:ascii="宋体"/>
          <w:bCs/>
          <w:kern w:val="0"/>
        </w:rPr>
        <w:t xml:space="preserve">采用先进适用的新型阴极结构铝电技术、先进适用的氧化铝节能技术以及铝加工先进技术，对现有电解铝、氧化铝以及铝加工生产能力进行技术改造，提高产业技术装备水平，降低物耗和能耗，增加品种，改善质量。 </w:t>
      </w:r>
    </w:p>
    <w:p>
      <w:pPr>
        <w:widowControl/>
        <w:adjustRightInd w:val="0"/>
        <w:snapToGrid w:val="0"/>
        <w:ind w:firstLine="480" w:firstLineChars="200"/>
        <w:rPr>
          <w:rFonts w:ascii="宋体"/>
          <w:bCs/>
          <w:kern w:val="0"/>
        </w:rPr>
      </w:pPr>
      <w:r>
        <w:rPr>
          <w:rFonts w:hint="eastAsia" w:ascii="宋体"/>
          <w:bCs/>
          <w:kern w:val="0"/>
        </w:rPr>
        <w:t>依托优势企业、产业集聚区和重大项目，积极推进新技术产业化及规模化制造。未来重点发展航空航天用铝合金中厚板、高性能铝合金半固态坯料及零件，涡轮发动机压叶轮材料，6系汽车铝合金板，2系铝合金，7系列铝合金，铝锂合金，深冷设备用铝合金板材，高速列车和货运列车用大型铝材，可焊铝合金薄</w:t>
      </w:r>
      <w:bookmarkStart w:id="179" w:name="OLE_LINK92"/>
      <w:r>
        <w:rPr>
          <w:rFonts w:hint="eastAsia" w:ascii="宋体"/>
          <w:bCs/>
          <w:kern w:val="0"/>
        </w:rPr>
        <w:t>板，超高纯铝，高压阳极铝箔及深加工等项目等，打造高精铝加工产品。</w:t>
      </w:r>
    </w:p>
    <w:bookmarkEnd w:id="178"/>
    <w:p>
      <w:pPr>
        <w:widowControl/>
        <w:adjustRightInd w:val="0"/>
        <w:snapToGrid w:val="0"/>
        <w:ind w:firstLine="480" w:firstLineChars="200"/>
        <w:rPr>
          <w:rFonts w:ascii="宋体"/>
          <w:bCs/>
          <w:kern w:val="0"/>
        </w:rPr>
      </w:pPr>
      <w:bookmarkStart w:id="180" w:name="OLE_LINK90"/>
      <w:r>
        <w:rPr>
          <w:rFonts w:hint="eastAsia" w:ascii="宋体"/>
          <w:bCs/>
          <w:kern w:val="0"/>
        </w:rPr>
        <w:t xml:space="preserve">遵循循环经济理念，推行清洁生产，从源头和全过程控制污染物产生和排放，降低资源消耗。加强赤泥、电解槽废内衬以及高铝煤炭资源综合利用，提高资源综合利用水平。完善再生资源回收体系，推进再生资源规模化高效利用。 </w:t>
      </w:r>
    </w:p>
    <w:bookmarkEnd w:id="174"/>
    <w:bookmarkEnd w:id="175"/>
    <w:p>
      <w:pPr>
        <w:widowControl/>
        <w:adjustRightInd w:val="0"/>
        <w:snapToGrid w:val="0"/>
        <w:ind w:firstLine="480" w:firstLineChars="200"/>
        <w:rPr>
          <w:rFonts w:ascii="宋体"/>
          <w:bCs/>
          <w:kern w:val="0"/>
        </w:rPr>
      </w:pPr>
      <w:bookmarkStart w:id="181" w:name="OLE_LINK82"/>
      <w:bookmarkStart w:id="182" w:name="OLE_LINK81"/>
      <w:r>
        <w:rPr>
          <w:rFonts w:hint="eastAsia" w:ascii="宋体"/>
          <w:bCs/>
          <w:kern w:val="0"/>
        </w:rPr>
        <w:t>（2）</w:t>
      </w:r>
      <w:bookmarkStart w:id="183" w:name="OLE_LINK91"/>
      <w:r>
        <w:rPr>
          <w:rFonts w:hint="eastAsia" w:ascii="宋体"/>
          <w:bCs/>
          <w:kern w:val="0"/>
        </w:rPr>
        <w:t>增材制造</w:t>
      </w:r>
      <w:r>
        <w:rPr>
          <w:rFonts w:ascii="宋体"/>
          <w:bCs/>
          <w:kern w:val="0"/>
        </w:rPr>
        <w:t>专用</w:t>
      </w:r>
      <w:r>
        <w:rPr>
          <w:rFonts w:hint="eastAsia" w:ascii="宋体"/>
          <w:bCs/>
          <w:kern w:val="0"/>
        </w:rPr>
        <w:t>特色新</w:t>
      </w:r>
      <w:bookmarkEnd w:id="180"/>
      <w:r>
        <w:rPr>
          <w:rFonts w:hint="eastAsia" w:ascii="宋体"/>
          <w:bCs/>
          <w:kern w:val="0"/>
        </w:rPr>
        <w:t>材料</w:t>
      </w:r>
      <w:bookmarkEnd w:id="183"/>
    </w:p>
    <w:bookmarkEnd w:id="179"/>
    <w:bookmarkEnd w:id="181"/>
    <w:bookmarkEnd w:id="182"/>
    <w:p>
      <w:pPr>
        <w:widowControl/>
        <w:adjustRightInd w:val="0"/>
        <w:snapToGrid w:val="0"/>
        <w:ind w:firstLine="480" w:firstLineChars="200"/>
        <w:rPr>
          <w:rFonts w:ascii="宋体"/>
          <w:bCs/>
          <w:kern w:val="0"/>
        </w:rPr>
      </w:pPr>
      <w:r>
        <w:rPr>
          <w:rFonts w:hint="eastAsia" w:ascii="宋体"/>
          <w:bCs/>
          <w:kern w:val="0"/>
        </w:rPr>
        <w:t>积极寻求</w:t>
      </w:r>
      <w:r>
        <w:rPr>
          <w:rFonts w:ascii="宋体"/>
          <w:bCs/>
          <w:kern w:val="0"/>
        </w:rPr>
        <w:t>与现有的高校、科研院所，开展增材制造的基础研究、工程化研究和应用技术研究。</w:t>
      </w:r>
      <w:r>
        <w:rPr>
          <w:rFonts w:hint="eastAsia" w:ascii="宋体"/>
          <w:bCs/>
          <w:kern w:val="0"/>
        </w:rPr>
        <w:t>争取</w:t>
      </w:r>
      <w:r>
        <w:rPr>
          <w:rFonts w:ascii="宋体"/>
          <w:bCs/>
          <w:kern w:val="0"/>
        </w:rPr>
        <w:t>到</w:t>
      </w:r>
      <w:r>
        <w:rPr>
          <w:rFonts w:hint="eastAsia" w:ascii="宋体"/>
          <w:bCs/>
          <w:kern w:val="0"/>
        </w:rPr>
        <w:t>2020年</w:t>
      </w:r>
      <w:r>
        <w:rPr>
          <w:rFonts w:ascii="宋体"/>
          <w:bCs/>
          <w:kern w:val="0"/>
        </w:rPr>
        <w:t>，针对金属及非金属增材制造领域，建成</w:t>
      </w:r>
      <w:r>
        <w:rPr>
          <w:rFonts w:hint="eastAsia" w:ascii="宋体"/>
          <w:bCs/>
          <w:kern w:val="0"/>
        </w:rPr>
        <w:t>1个</w:t>
      </w:r>
      <w:r>
        <w:rPr>
          <w:rFonts w:ascii="宋体"/>
          <w:bCs/>
          <w:kern w:val="0"/>
        </w:rPr>
        <w:t>国家级工程实验室，或工程中心，开展增材制造技术从基础研究走向产业化应用中间环节的工程化研究，形成以产品及技术收益权为主的增材制造产业孵化基地。</w:t>
      </w:r>
    </w:p>
    <w:p>
      <w:pPr>
        <w:widowControl/>
        <w:adjustRightInd w:val="0"/>
        <w:snapToGrid w:val="0"/>
        <w:ind w:firstLine="480" w:firstLineChars="200"/>
        <w:rPr>
          <w:rFonts w:ascii="宋体"/>
          <w:bCs/>
          <w:kern w:val="0"/>
        </w:rPr>
      </w:pPr>
      <w:r>
        <w:rPr>
          <w:rFonts w:ascii="宋体"/>
          <w:bCs/>
          <w:kern w:val="0"/>
        </w:rPr>
        <w:t>依托西北有色金属研究院、西安交通大学等高校和研究机构，积极开展增材制造专用材料特性研究与试制，鼓励相关企业从事金属及非金属增材制造专用材料的批量化生产。在非金属专用材料领域，重点支持光敏树脂、高性能陶瓷、碳纤维增强尼龙复合材料等高分子材料的规模化制备，不断提高材料耐高温、强度等性能，降低材料成本。在金属专用材料领域，重点支持钛合金、镍基高温合金等金属材料球形粉末的规模化制备，不断优化粉末粒度、形状和化学性质等特性，为增材制造技术的全面普及推广提供前提条件。</w:t>
      </w:r>
      <w:r>
        <w:rPr>
          <w:rFonts w:hint="eastAsia" w:ascii="宋体"/>
          <w:bCs/>
          <w:kern w:val="0"/>
        </w:rPr>
        <w:t>到2020年</w:t>
      </w:r>
      <w:r>
        <w:rPr>
          <w:rFonts w:ascii="宋体"/>
          <w:bCs/>
          <w:kern w:val="0"/>
        </w:rPr>
        <w:t>，争取能在增材制造专用材料研发方面实现</w:t>
      </w:r>
      <w:r>
        <w:rPr>
          <w:rFonts w:hint="eastAsia" w:ascii="宋体"/>
          <w:bCs/>
          <w:kern w:val="0"/>
        </w:rPr>
        <w:t>1</w:t>
      </w:r>
      <w:r>
        <w:rPr>
          <w:rFonts w:hint="eastAsia" w:ascii="宋体" w:hAnsi="宋体"/>
          <w:bCs/>
          <w:kern w:val="0"/>
        </w:rPr>
        <w:t>～</w:t>
      </w:r>
      <w:r>
        <w:rPr>
          <w:rFonts w:hint="eastAsia" w:ascii="宋体"/>
          <w:bCs/>
          <w:kern w:val="0"/>
        </w:rPr>
        <w:t>2项关键</w:t>
      </w:r>
      <w:r>
        <w:rPr>
          <w:rFonts w:ascii="宋体"/>
          <w:bCs/>
          <w:kern w:val="0"/>
        </w:rPr>
        <w:t>技术的突破和产业化。</w:t>
      </w:r>
    </w:p>
    <w:p>
      <w:pPr>
        <w:widowControl/>
        <w:adjustRightInd w:val="0"/>
        <w:snapToGrid w:val="0"/>
        <w:ind w:firstLine="480" w:firstLineChars="200"/>
        <w:rPr>
          <w:rFonts w:ascii="宋体"/>
          <w:bCs/>
          <w:kern w:val="0"/>
        </w:rPr>
      </w:pPr>
    </w:p>
    <w:p>
      <w:pPr>
        <w:pStyle w:val="132"/>
        <w:numPr>
          <w:ilvl w:val="0"/>
          <w:numId w:val="21"/>
        </w:numPr>
      </w:pPr>
      <w:r>
        <w:rPr>
          <w:rFonts w:hint="eastAsia"/>
        </w:rPr>
        <w:t>增材</w:t>
      </w:r>
      <w:r>
        <w:t>制造专用材料应用领域重点产品</w:t>
      </w:r>
    </w:p>
    <w:tbl>
      <w:tblPr>
        <w:tblStyle w:val="45"/>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8"/>
        <w:gridCol w:w="2880"/>
        <w:gridCol w:w="42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trPr>
        <w:tc>
          <w:tcPr>
            <w:tcW w:w="1368" w:type="dxa"/>
            <w:vAlign w:val="center"/>
          </w:tcPr>
          <w:p>
            <w:pPr>
              <w:pStyle w:val="36"/>
            </w:pPr>
            <w:r>
              <w:t>应用领域</w:t>
            </w:r>
          </w:p>
        </w:tc>
        <w:tc>
          <w:tcPr>
            <w:tcW w:w="2880" w:type="dxa"/>
            <w:vAlign w:val="center"/>
          </w:tcPr>
          <w:p>
            <w:pPr>
              <w:pStyle w:val="36"/>
            </w:pPr>
            <w:r>
              <w:t>材料</w:t>
            </w:r>
          </w:p>
        </w:tc>
        <w:tc>
          <w:tcPr>
            <w:tcW w:w="4274" w:type="dxa"/>
            <w:vAlign w:val="center"/>
          </w:tcPr>
          <w:p>
            <w:pPr>
              <w:pStyle w:val="36"/>
            </w:pPr>
            <w:r>
              <w:t>重点产品（应用方向）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68" w:type="dxa"/>
            <w:vAlign w:val="center"/>
          </w:tcPr>
          <w:p>
            <w:pPr>
              <w:pStyle w:val="36"/>
            </w:pPr>
            <w:r>
              <w:t>航 空</w:t>
            </w:r>
          </w:p>
        </w:tc>
        <w:tc>
          <w:tcPr>
            <w:tcW w:w="2880" w:type="dxa"/>
            <w:vAlign w:val="center"/>
          </w:tcPr>
          <w:p>
            <w:pPr>
              <w:pStyle w:val="36"/>
            </w:pPr>
            <w:r>
              <w:t>铝合金、钛合金、</w:t>
            </w:r>
          </w:p>
          <w:p>
            <w:pPr>
              <w:pStyle w:val="36"/>
            </w:pPr>
            <w:r>
              <w:t>高温合金等</w:t>
            </w:r>
          </w:p>
        </w:tc>
        <w:tc>
          <w:tcPr>
            <w:tcW w:w="4274" w:type="dxa"/>
            <w:vAlign w:val="center"/>
          </w:tcPr>
          <w:p>
            <w:pPr>
              <w:pStyle w:val="36"/>
            </w:pPr>
            <w:r>
              <w:t>机身结构件、发动机零部件、飞机附件、发动机控制部件等结构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68" w:type="dxa"/>
            <w:vAlign w:val="center"/>
          </w:tcPr>
          <w:p>
            <w:pPr>
              <w:pStyle w:val="36"/>
            </w:pPr>
            <w:r>
              <w:t>航 天</w:t>
            </w:r>
          </w:p>
        </w:tc>
        <w:tc>
          <w:tcPr>
            <w:tcW w:w="2880" w:type="dxa"/>
            <w:vAlign w:val="center"/>
          </w:tcPr>
          <w:p>
            <w:pPr>
              <w:pStyle w:val="36"/>
            </w:pPr>
            <w:r>
              <w:t>铝合金、钛合金、高温合金、不锈钢、高强钢等</w:t>
            </w:r>
          </w:p>
        </w:tc>
        <w:tc>
          <w:tcPr>
            <w:tcW w:w="4274" w:type="dxa"/>
            <w:vAlign w:val="center"/>
          </w:tcPr>
          <w:p>
            <w:pPr>
              <w:pStyle w:val="36"/>
            </w:pPr>
            <w:r>
              <w:t>卫星及其他空间探测器的复杂结构件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68" w:type="dxa"/>
            <w:vAlign w:val="center"/>
          </w:tcPr>
          <w:p>
            <w:pPr>
              <w:pStyle w:val="36"/>
            </w:pPr>
            <w:r>
              <w:t>汽 车</w:t>
            </w:r>
          </w:p>
        </w:tc>
        <w:tc>
          <w:tcPr>
            <w:tcW w:w="2880" w:type="dxa"/>
            <w:vAlign w:val="center"/>
          </w:tcPr>
          <w:p>
            <w:pPr>
              <w:pStyle w:val="36"/>
            </w:pPr>
            <w:r>
              <w:t>钛合金、纯钛、高速钢</w:t>
            </w:r>
          </w:p>
          <w:p>
            <w:pPr>
              <w:pStyle w:val="36"/>
            </w:pPr>
            <w:r>
              <w:t>及非金属材料</w:t>
            </w:r>
          </w:p>
        </w:tc>
        <w:tc>
          <w:tcPr>
            <w:tcW w:w="4274" w:type="dxa"/>
            <w:vAlign w:val="center"/>
          </w:tcPr>
          <w:p>
            <w:pPr>
              <w:pStyle w:val="36"/>
            </w:pPr>
            <w:r>
              <w:t>汽车发动机零部件、复杂模具等结构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68" w:type="dxa"/>
            <w:vAlign w:val="center"/>
          </w:tcPr>
          <w:p>
            <w:pPr>
              <w:pStyle w:val="36"/>
            </w:pPr>
            <w:r>
              <w:t>生物医疗</w:t>
            </w:r>
          </w:p>
        </w:tc>
        <w:tc>
          <w:tcPr>
            <w:tcW w:w="2880" w:type="dxa"/>
            <w:vAlign w:val="center"/>
          </w:tcPr>
          <w:p>
            <w:pPr>
              <w:pStyle w:val="36"/>
            </w:pPr>
            <w:r>
              <w:t>钛合金、钴铬钼合金</w:t>
            </w:r>
          </w:p>
          <w:p>
            <w:pPr>
              <w:pStyle w:val="36"/>
            </w:pPr>
            <w:r>
              <w:t>以及生物组织</w:t>
            </w:r>
          </w:p>
        </w:tc>
        <w:tc>
          <w:tcPr>
            <w:tcW w:w="4274" w:type="dxa"/>
            <w:vAlign w:val="center"/>
          </w:tcPr>
          <w:p>
            <w:pPr>
              <w:pStyle w:val="36"/>
            </w:pPr>
            <w:r>
              <w:t>器官、骨骼、组织工程、植入物、</w:t>
            </w:r>
          </w:p>
          <w:p>
            <w:pPr>
              <w:pStyle w:val="36"/>
            </w:pPr>
            <w:r>
              <w:t>定向药物输送骨架等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68" w:type="dxa"/>
            <w:vAlign w:val="center"/>
          </w:tcPr>
          <w:p>
            <w:pPr>
              <w:pStyle w:val="36"/>
            </w:pPr>
            <w:r>
              <w:t>教 育</w:t>
            </w:r>
          </w:p>
        </w:tc>
        <w:tc>
          <w:tcPr>
            <w:tcW w:w="2880" w:type="dxa"/>
            <w:vAlign w:val="center"/>
          </w:tcPr>
          <w:p>
            <w:pPr>
              <w:pStyle w:val="36"/>
            </w:pPr>
            <w:r>
              <w:t>非金属材料</w:t>
            </w:r>
          </w:p>
        </w:tc>
        <w:tc>
          <w:tcPr>
            <w:tcW w:w="4274" w:type="dxa"/>
          </w:tcPr>
          <w:p>
            <w:pPr>
              <w:pStyle w:val="36"/>
            </w:pPr>
            <w:r>
              <w:t>创意、创新教育及科普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68" w:type="dxa"/>
            <w:vAlign w:val="center"/>
          </w:tcPr>
          <w:p>
            <w:pPr>
              <w:pStyle w:val="36"/>
            </w:pPr>
            <w:r>
              <w:t>文化创意</w:t>
            </w:r>
          </w:p>
        </w:tc>
        <w:tc>
          <w:tcPr>
            <w:tcW w:w="2880" w:type="dxa"/>
            <w:vAlign w:val="center"/>
          </w:tcPr>
          <w:p>
            <w:pPr>
              <w:pStyle w:val="36"/>
            </w:pPr>
            <w:r>
              <w:t>金属及非金属材料</w:t>
            </w:r>
          </w:p>
        </w:tc>
        <w:tc>
          <w:tcPr>
            <w:tcW w:w="4274" w:type="dxa"/>
            <w:vAlign w:val="center"/>
          </w:tcPr>
          <w:p>
            <w:pPr>
              <w:pStyle w:val="36"/>
            </w:pPr>
            <w:r>
              <w:t>工艺、装饰、艺术等个性化产品</w:t>
            </w:r>
          </w:p>
        </w:tc>
      </w:tr>
    </w:tbl>
    <w:p>
      <w:pPr>
        <w:widowControl/>
        <w:adjustRightInd w:val="0"/>
        <w:snapToGrid w:val="0"/>
        <w:ind w:firstLine="480" w:firstLineChars="200"/>
        <w:rPr>
          <w:rFonts w:ascii="宋体"/>
          <w:bCs/>
          <w:kern w:val="0"/>
        </w:rPr>
      </w:pPr>
    </w:p>
    <w:p>
      <w:pPr>
        <w:widowControl/>
        <w:adjustRightInd w:val="0"/>
        <w:snapToGrid w:val="0"/>
        <w:ind w:firstLine="480" w:firstLineChars="200"/>
        <w:rPr>
          <w:rFonts w:ascii="宋体"/>
          <w:bCs/>
          <w:kern w:val="0"/>
        </w:rPr>
      </w:pPr>
      <w:r>
        <w:rPr>
          <w:rFonts w:hint="eastAsia" w:ascii="宋体"/>
          <w:bCs/>
          <w:kern w:val="0"/>
        </w:rPr>
        <w:t>（3）钼基新材料产业</w:t>
      </w:r>
    </w:p>
    <w:p>
      <w:pPr>
        <w:widowControl/>
        <w:adjustRightInd w:val="0"/>
        <w:snapToGrid w:val="0"/>
        <w:ind w:firstLine="480" w:firstLineChars="200"/>
        <w:rPr>
          <w:rFonts w:ascii="宋体"/>
          <w:bCs/>
          <w:kern w:val="0"/>
        </w:rPr>
      </w:pPr>
      <w:r>
        <w:rPr>
          <w:rFonts w:hint="eastAsia" w:ascii="宋体"/>
          <w:bCs/>
          <w:kern w:val="0"/>
        </w:rPr>
        <w:t>大力发展钼基新材料产业，推进华州金钼集团数字矿山建设，促进钼产业由初级产品开采向精细产品和高附加值产品延伸，实施金钼股份钼矿采选改造升级、汝阳矿采选升级、钼板带箔等项目，加快建设国家级钼及钼化工、钼合金产业聚集区。</w:t>
      </w:r>
    </w:p>
    <w:p>
      <w:pPr>
        <w:widowControl/>
        <w:adjustRightInd w:val="0"/>
        <w:snapToGrid w:val="0"/>
        <w:ind w:firstLine="480" w:firstLineChars="200"/>
        <w:rPr>
          <w:rFonts w:ascii="宋体"/>
          <w:bCs/>
          <w:kern w:val="0"/>
        </w:rPr>
      </w:pPr>
      <w:bookmarkStart w:id="184" w:name="OLE_LINK93"/>
      <w:r>
        <w:rPr>
          <w:rFonts w:hint="eastAsia" w:ascii="宋体"/>
          <w:bCs/>
          <w:kern w:val="0"/>
        </w:rPr>
        <w:t>聚焦钼化工提取提纯、冶炼锻造、化学合成、钼基合金等关联产业，大力发展钼基新材料，重点发展高性能钼合金、钼烧结板、钼靶材、钼异型材、钼丝等高附加值产品，加快建设国家级钼及钼化工、钼合金产业聚集区，打造中国钼都。</w:t>
      </w:r>
    </w:p>
    <w:bookmarkEnd w:id="176"/>
    <w:bookmarkEnd w:id="184"/>
    <w:p>
      <w:pPr>
        <w:pStyle w:val="125"/>
      </w:pPr>
      <w:bookmarkStart w:id="185" w:name="_Toc2554"/>
      <w:bookmarkStart w:id="186" w:name="OLE_LINK96"/>
      <w:r>
        <w:rPr>
          <w:rFonts w:hint="eastAsia"/>
        </w:rPr>
        <w:t>重点项目</w:t>
      </w:r>
      <w:bookmarkEnd w:id="185"/>
    </w:p>
    <w:bookmarkEnd w:id="186"/>
    <w:p>
      <w:pPr>
        <w:pStyle w:val="126"/>
      </w:pPr>
      <w:bookmarkStart w:id="187" w:name="OLE_LINK98"/>
      <w:bookmarkStart w:id="188" w:name="OLE_LINK99"/>
      <w:bookmarkStart w:id="189" w:name="OLE_LINK40"/>
      <w:r>
        <w:rPr>
          <w:rFonts w:hint="eastAsia"/>
        </w:rPr>
        <w:t>新能源汽车产业重点项目</w:t>
      </w:r>
    </w:p>
    <w:bookmarkEnd w:id="187"/>
    <w:p>
      <w:pPr>
        <w:pStyle w:val="128"/>
      </w:pPr>
      <w:bookmarkStart w:id="190" w:name="OLE_LINK71"/>
      <w:r>
        <w:rPr>
          <w:rFonts w:hint="eastAsia"/>
        </w:rPr>
        <w:t>“十三五”期间</w:t>
      </w:r>
      <w:r>
        <w:t>全力推动渭南市新能源电池</w:t>
      </w:r>
      <w:r>
        <w:rPr>
          <w:rFonts w:hint="eastAsia"/>
        </w:rPr>
        <w:t>产业发展</w:t>
      </w:r>
      <w:r>
        <w:t>，</w:t>
      </w:r>
      <w:r>
        <w:rPr>
          <w:rFonts w:hint="eastAsia"/>
        </w:rPr>
        <w:t>尽快形成</w:t>
      </w:r>
      <w:r>
        <w:t>具有一定规模的电池生产基地，带动渭南市新能源汽车产业发展</w:t>
      </w:r>
      <w:r>
        <w:rPr>
          <w:rFonts w:hint="eastAsia"/>
        </w:rPr>
        <w:t>，</w:t>
      </w:r>
      <w:r>
        <w:t>争取</w:t>
      </w:r>
      <w:r>
        <w:rPr>
          <w:rFonts w:hint="eastAsia"/>
        </w:rPr>
        <w:t>2020年末</w:t>
      </w:r>
      <w:r>
        <w:t>，将渭南建成国内最大的新能源动力电池生产基地。</w:t>
      </w:r>
    </w:p>
    <w:p>
      <w:pPr>
        <w:pStyle w:val="128"/>
      </w:pPr>
      <w:r>
        <w:rPr>
          <w:rFonts w:hint="eastAsia"/>
        </w:rPr>
        <w:t>项目1：天臣新能源（渭南）有限公司锂离子</w:t>
      </w:r>
      <w:r>
        <w:t>动力电池项目</w:t>
      </w:r>
    </w:p>
    <w:p>
      <w:pPr>
        <w:pStyle w:val="128"/>
      </w:pPr>
      <w:r>
        <w:rPr>
          <w:rFonts w:hint="eastAsia"/>
        </w:rPr>
        <w:t>天臣新能源锂离子</w:t>
      </w:r>
      <w:r>
        <w:t>动力电池项目</w:t>
      </w:r>
      <w:r>
        <w:rPr>
          <w:rFonts w:hint="eastAsia"/>
        </w:rPr>
        <w:t>规划</w:t>
      </w:r>
      <w:r>
        <w:t>投资</w:t>
      </w:r>
      <w:r>
        <w:rPr>
          <w:rFonts w:hint="eastAsia"/>
        </w:rPr>
        <w:t>46亿元</w:t>
      </w:r>
      <w:r>
        <w:t>，</w:t>
      </w:r>
      <w:r>
        <w:rPr>
          <w:rFonts w:hint="eastAsia"/>
        </w:rPr>
        <w:t>全部</w:t>
      </w:r>
      <w:r>
        <w:t>建成后可实现日产锂离子动力电池</w:t>
      </w:r>
      <w:r>
        <w:rPr>
          <w:rFonts w:hint="eastAsia"/>
        </w:rPr>
        <w:t>350万支</w:t>
      </w:r>
      <w:r>
        <w:t>。</w:t>
      </w:r>
    </w:p>
    <w:p>
      <w:pPr>
        <w:pStyle w:val="128"/>
      </w:pPr>
      <w:r>
        <w:rPr>
          <w:rFonts w:hint="eastAsia"/>
        </w:rPr>
        <w:t>项目2：</w:t>
      </w:r>
      <w:r>
        <w:t>沃特玛新能源电池项目</w:t>
      </w:r>
      <w:r>
        <w:rPr>
          <w:rFonts w:hint="eastAsia"/>
        </w:rPr>
        <w:t>，</w:t>
      </w:r>
    </w:p>
    <w:p>
      <w:pPr>
        <w:pStyle w:val="128"/>
      </w:pPr>
      <w:r>
        <w:t>沃特玛新能源电池项目</w:t>
      </w:r>
      <w:r>
        <w:rPr>
          <w:rFonts w:hint="eastAsia"/>
        </w:rPr>
        <w:t>总</w:t>
      </w:r>
      <w:r>
        <w:t>规划投资</w:t>
      </w:r>
      <w:r>
        <w:rPr>
          <w:rFonts w:hint="eastAsia"/>
        </w:rPr>
        <w:t>50亿元</w:t>
      </w:r>
      <w:r>
        <w:t>，建设总产能为</w:t>
      </w:r>
      <w:r>
        <w:rPr>
          <w:rFonts w:hint="eastAsia"/>
        </w:rPr>
        <w:t>10GW的</w:t>
      </w:r>
      <w:r>
        <w:t>圆柱型锂离子电池生产项目。</w:t>
      </w:r>
      <w:r>
        <w:rPr>
          <w:rFonts w:hint="eastAsia"/>
        </w:rPr>
        <w:t>一期建设年产3GW圆柱型锂离子电池生产线，二期建设3GW，三期建设4GW圆柱型锂离子电池生产线。持续</w:t>
      </w:r>
      <w:r>
        <w:t>推进沃特玛新能源电池项目</w:t>
      </w:r>
      <w:r>
        <w:rPr>
          <w:rFonts w:hint="eastAsia"/>
        </w:rPr>
        <w:t>，保障2017年</w:t>
      </w:r>
      <w:r>
        <w:t>一期</w:t>
      </w:r>
      <w:r>
        <w:rPr>
          <w:rFonts w:hint="eastAsia"/>
        </w:rPr>
        <w:t>3GW圆柱型</w:t>
      </w:r>
      <w:r>
        <w:t>锂离子电池</w:t>
      </w:r>
      <w:r>
        <w:rPr>
          <w:rFonts w:hint="eastAsia"/>
        </w:rPr>
        <w:t>项目达产</w:t>
      </w:r>
      <w:r>
        <w:t>，</w:t>
      </w:r>
      <w:r>
        <w:rPr>
          <w:rFonts w:hint="eastAsia"/>
        </w:rPr>
        <w:t>同时</w:t>
      </w:r>
      <w:r>
        <w:t>规划启动二期</w:t>
      </w:r>
      <w:r>
        <w:rPr>
          <w:rFonts w:hint="eastAsia"/>
        </w:rPr>
        <w:t>、</w:t>
      </w:r>
      <w:r>
        <w:t>三期项目。</w:t>
      </w:r>
    </w:p>
    <w:p>
      <w:pPr>
        <w:pStyle w:val="128"/>
      </w:pPr>
    </w:p>
    <w:p>
      <w:pPr>
        <w:pStyle w:val="128"/>
      </w:pPr>
      <w:r>
        <w:rPr>
          <w:rFonts w:hint="eastAsia"/>
        </w:rPr>
        <w:t>项目3：陕西中盛达锂实业有限公司锂电池项目</w:t>
      </w:r>
    </w:p>
    <w:p>
      <w:pPr>
        <w:pStyle w:val="128"/>
      </w:pPr>
      <w:r>
        <w:rPr>
          <w:rFonts w:hint="eastAsia"/>
        </w:rPr>
        <w:t>计划</w:t>
      </w:r>
      <w:r>
        <w:t>建设</w:t>
      </w:r>
      <w:r>
        <w:rPr>
          <w:rFonts w:hint="eastAsia"/>
        </w:rPr>
        <w:t>5条环保型锂电池生产线，年产值不低于3.6亿元，</w:t>
      </w:r>
      <w:r>
        <w:t>计划投资约</w:t>
      </w:r>
      <w:r>
        <w:rPr>
          <w:rFonts w:hint="eastAsia"/>
        </w:rPr>
        <w:t>3亿元</w:t>
      </w:r>
      <w:r>
        <w:t>。</w:t>
      </w:r>
    </w:p>
    <w:p>
      <w:pPr>
        <w:pStyle w:val="128"/>
      </w:pPr>
      <w:r>
        <w:rPr>
          <w:rFonts w:hint="eastAsia"/>
        </w:rPr>
        <w:t>项目4：陕西德飞新能源科技集团有限公司年产4GWH动力锂离子电池生产项目</w:t>
      </w:r>
    </w:p>
    <w:p>
      <w:pPr>
        <w:pStyle w:val="128"/>
      </w:pPr>
      <w:r>
        <w:rPr>
          <w:rFonts w:hint="eastAsia"/>
        </w:rPr>
        <w:t>计划</w:t>
      </w:r>
      <w:r>
        <w:t>投资约</w:t>
      </w:r>
      <w:r>
        <w:rPr>
          <w:rFonts w:hint="eastAsia"/>
        </w:rPr>
        <w:t>30亿元</w:t>
      </w:r>
      <w:r>
        <w:t>，建设</w:t>
      </w:r>
      <w:r>
        <w:rPr>
          <w:rFonts w:hint="eastAsia"/>
        </w:rPr>
        <w:t>年产4GWH动力锂离子电池生产项目。</w:t>
      </w:r>
    </w:p>
    <w:p>
      <w:pPr>
        <w:pStyle w:val="128"/>
      </w:pPr>
      <w:bookmarkStart w:id="191" w:name="OLE_LINK119"/>
      <w:r>
        <w:rPr>
          <w:rFonts w:hint="eastAsia"/>
        </w:rPr>
        <w:t>项目5：推动整车</w:t>
      </w:r>
      <w:r>
        <w:t>项目落地</w:t>
      </w:r>
    </w:p>
    <w:p>
      <w:pPr>
        <w:pStyle w:val="128"/>
      </w:pPr>
      <w:r>
        <w:rPr>
          <w:rFonts w:hint="eastAsia"/>
        </w:rPr>
        <w:t>积极对接北汽新能源、汉能集团、星美集团、比亚迪、上汽、陕汽等整车生产企业</w:t>
      </w:r>
      <w:bookmarkEnd w:id="191"/>
      <w:r>
        <w:rPr>
          <w:rFonts w:hint="eastAsia"/>
        </w:rPr>
        <w:t>，争取</w:t>
      </w:r>
      <w:r>
        <w:t>在2017</w:t>
      </w:r>
      <w:r>
        <w:rPr>
          <w:rFonts w:hint="eastAsia"/>
        </w:rPr>
        <w:t>年</w:t>
      </w:r>
      <w:r>
        <w:t>达成初步合作的框架协议，</w:t>
      </w:r>
      <w:r>
        <w:rPr>
          <w:rFonts w:hint="eastAsia"/>
        </w:rPr>
        <w:t>2020年</w:t>
      </w:r>
      <w:r>
        <w:t>末完成在渭投资计划，争取</w:t>
      </w:r>
      <w:r>
        <w:rPr>
          <w:rFonts w:hint="eastAsia"/>
        </w:rPr>
        <w:t>1</w:t>
      </w:r>
      <w:r>
        <w:t>-2</w:t>
      </w:r>
      <w:r>
        <w:rPr>
          <w:rFonts w:hint="eastAsia"/>
        </w:rPr>
        <w:t>个</w:t>
      </w:r>
      <w:r>
        <w:t>整车项目签约。</w:t>
      </w:r>
    </w:p>
    <w:bookmarkEnd w:id="188"/>
    <w:bookmarkEnd w:id="189"/>
    <w:bookmarkEnd w:id="190"/>
    <w:p>
      <w:pPr>
        <w:pStyle w:val="126"/>
      </w:pPr>
      <w:bookmarkStart w:id="192" w:name="OLE_LINK100"/>
      <w:bookmarkStart w:id="193" w:name="OLE_LINK116"/>
      <w:bookmarkStart w:id="194" w:name="OLE_LINK104"/>
      <w:r>
        <w:rPr>
          <w:rFonts w:hint="eastAsia"/>
        </w:rPr>
        <w:t>新能源</w:t>
      </w:r>
      <w:bookmarkEnd w:id="192"/>
      <w:r>
        <w:rPr>
          <w:rFonts w:hint="eastAsia"/>
        </w:rPr>
        <w:t>产业重点项目</w:t>
      </w:r>
    </w:p>
    <w:p>
      <w:pPr>
        <w:pStyle w:val="127"/>
      </w:pPr>
      <w:r>
        <w:rPr>
          <w:rFonts w:hint="eastAsia"/>
        </w:rPr>
        <w:t>做好新</w:t>
      </w:r>
      <w:r>
        <w:t>能源规划编制工作</w:t>
      </w:r>
    </w:p>
    <w:p>
      <w:pPr>
        <w:pStyle w:val="128"/>
      </w:pPr>
      <w:r>
        <w:rPr>
          <w:rFonts w:hint="eastAsia"/>
        </w:rPr>
        <w:t>以</w:t>
      </w:r>
      <w:r>
        <w:t>《</w:t>
      </w:r>
      <w:r>
        <w:rPr>
          <w:rFonts w:hint="eastAsia"/>
        </w:rPr>
        <w:t>渭南市“十三五”能源</w:t>
      </w:r>
      <w:r>
        <w:t>发展规划》</w:t>
      </w:r>
      <w:r>
        <w:rPr>
          <w:rFonts w:hint="eastAsia"/>
        </w:rPr>
        <w:t>、</w:t>
      </w:r>
      <w:r>
        <w:t>《</w:t>
      </w:r>
      <w:r>
        <w:rPr>
          <w:rFonts w:hint="eastAsia"/>
        </w:rPr>
        <w:t>渭南市</w:t>
      </w:r>
      <w:r>
        <w:t>新能源新材料产业发展规划》</w:t>
      </w:r>
      <w:r>
        <w:rPr>
          <w:rFonts w:hint="eastAsia"/>
        </w:rPr>
        <w:t>为指导</w:t>
      </w:r>
      <w:r>
        <w:t>，</w:t>
      </w:r>
      <w:r>
        <w:rPr>
          <w:rFonts w:hint="eastAsia"/>
        </w:rPr>
        <w:t>细化环节</w:t>
      </w:r>
      <w:r>
        <w:t>，编制专项规划。</w:t>
      </w:r>
      <w:r>
        <w:rPr>
          <w:rFonts w:hint="eastAsia"/>
        </w:rPr>
        <w:t>结合</w:t>
      </w:r>
      <w:r>
        <w:t>能源产业发展实际，重点完成</w:t>
      </w:r>
      <w:r>
        <w:rPr>
          <w:rFonts w:hint="eastAsia"/>
        </w:rPr>
        <w:t>渭南市太阳能发电</w:t>
      </w:r>
      <w:r>
        <w:t>规划、</w:t>
      </w:r>
      <w:r>
        <w:rPr>
          <w:rFonts w:hint="eastAsia"/>
        </w:rPr>
        <w:t>新能源</w:t>
      </w:r>
      <w:r>
        <w:t>汽车核心零部件产业园区、新能源电动汽车充电基础设施建设等规划编制工作。</w:t>
      </w:r>
    </w:p>
    <w:p>
      <w:pPr>
        <w:pStyle w:val="127"/>
      </w:pPr>
      <w:r>
        <w:rPr>
          <w:rFonts w:hint="eastAsia"/>
        </w:rPr>
        <w:t>推进重点项目的</w:t>
      </w:r>
      <w:r>
        <w:t>建设</w:t>
      </w:r>
      <w:r>
        <w:rPr>
          <w:rFonts w:hint="eastAsia"/>
        </w:rPr>
        <w:t>工作</w:t>
      </w:r>
    </w:p>
    <w:p>
      <w:pPr>
        <w:pStyle w:val="128"/>
      </w:pPr>
      <w:r>
        <w:rPr>
          <w:rFonts w:hint="eastAsia"/>
        </w:rPr>
        <w:t>（1）光电</w:t>
      </w:r>
    </w:p>
    <w:p>
      <w:pPr>
        <w:pStyle w:val="128"/>
      </w:pPr>
      <w:r>
        <w:rPr>
          <w:rFonts w:hint="eastAsia"/>
        </w:rPr>
        <w:t>项目1：渭南市黄土旱塬光伏发电领跑者示范基地项目</w:t>
      </w:r>
    </w:p>
    <w:p>
      <w:pPr>
        <w:pStyle w:val="128"/>
      </w:pPr>
      <w:r>
        <w:rPr>
          <w:rFonts w:hint="eastAsia"/>
        </w:rPr>
        <w:t>项目建设</w:t>
      </w:r>
      <w:r>
        <w:t>内容：</w:t>
      </w:r>
      <w:r>
        <w:rPr>
          <w:rFonts w:hint="eastAsia"/>
        </w:rPr>
        <w:t>渭南市黄土旱塬光伏发电领跑者示范基地项目总体</w:t>
      </w:r>
      <w:r>
        <w:t>规划</w:t>
      </w:r>
      <w:r>
        <w:rPr>
          <w:rFonts w:hint="eastAsia"/>
        </w:rPr>
        <w:t>2000MW，</w:t>
      </w:r>
      <w:r>
        <w:t>2018</w:t>
      </w:r>
      <w:r>
        <w:rPr>
          <w:rFonts w:hint="eastAsia"/>
        </w:rPr>
        <w:t>年</w:t>
      </w:r>
      <w:r>
        <w:t>建成</w:t>
      </w:r>
      <w:r>
        <w:rPr>
          <w:rFonts w:hint="eastAsia"/>
        </w:rPr>
        <w:t>，估算</w:t>
      </w:r>
      <w:r>
        <w:t>总投资约</w:t>
      </w:r>
      <w:r>
        <w:rPr>
          <w:rFonts w:hint="eastAsia"/>
        </w:rPr>
        <w:t>150亿元</w:t>
      </w:r>
      <w:r>
        <w:t>。</w:t>
      </w:r>
      <w:r>
        <w:rPr>
          <w:rFonts w:hint="eastAsia"/>
        </w:rPr>
        <w:t>规划将光伏发电与传统农业有机结合，探索出一条符合政策的光伏产业发展道路，积极</w:t>
      </w:r>
      <w:r>
        <w:t>申报渭南市黄土旱塬光伏发电领跑者示范基地项目，做好合阳县、白水县、</w:t>
      </w:r>
      <w:r>
        <w:rPr>
          <w:rFonts w:hint="eastAsia"/>
        </w:rPr>
        <w:t>澄城县</w:t>
      </w:r>
      <w:r>
        <w:t>和大荔县等</w:t>
      </w:r>
      <w:r>
        <w:rPr>
          <w:rFonts w:hint="eastAsia"/>
        </w:rPr>
        <w:t>地</w:t>
      </w:r>
      <w:r>
        <w:t>的相关配套工作，</w:t>
      </w:r>
      <w:r>
        <w:rPr>
          <w:rFonts w:hint="eastAsia"/>
        </w:rPr>
        <w:t>落实</w:t>
      </w:r>
      <w:r>
        <w:t>用地、电网接入和</w:t>
      </w:r>
      <w:r>
        <w:rPr>
          <w:rFonts w:hint="eastAsia"/>
        </w:rPr>
        <w:t>基础设施</w:t>
      </w:r>
      <w:r>
        <w:t>等建设条件，</w:t>
      </w:r>
      <w:r>
        <w:rPr>
          <w:rFonts w:hint="eastAsia"/>
        </w:rPr>
        <w:t>将渭南市打造成西北乃至全国最大的光伏农业示范基地。</w:t>
      </w:r>
      <w:r>
        <w:t>项目建成后，将成为</w:t>
      </w:r>
      <w:r>
        <w:rPr>
          <w:rFonts w:hint="eastAsia"/>
        </w:rPr>
        <w:t>国家光伏新技术示范地、农光互补领跑者技术实践地、先进技术聚集地，从而进一步推动渭南地区光伏产业链的发展完善。</w:t>
      </w:r>
    </w:p>
    <w:p>
      <w:pPr>
        <w:pStyle w:val="128"/>
      </w:pPr>
      <w:r>
        <w:rPr>
          <w:rFonts w:hint="eastAsia"/>
        </w:rPr>
        <w:t>项目</w:t>
      </w:r>
      <w:r>
        <w:t>2</w:t>
      </w:r>
      <w:r>
        <w:rPr>
          <w:rFonts w:hint="eastAsia"/>
        </w:rPr>
        <w:t>：澄城“煤</w:t>
      </w:r>
      <w:r>
        <w:t>-电-铝</w:t>
      </w:r>
      <w:r>
        <w:rPr>
          <w:rFonts w:hint="eastAsia"/>
        </w:rPr>
        <w:t>-</w:t>
      </w:r>
      <w:r>
        <w:t>铝合金支架-电站</w:t>
      </w:r>
      <w:r>
        <w:rPr>
          <w:rFonts w:hint="eastAsia"/>
        </w:rPr>
        <w:t>”</w:t>
      </w:r>
      <w:r>
        <w:t>产业链延伸</w:t>
      </w:r>
    </w:p>
    <w:p>
      <w:pPr>
        <w:pStyle w:val="128"/>
      </w:pPr>
      <w:r>
        <w:rPr>
          <w:rFonts w:hint="eastAsia"/>
        </w:rPr>
        <w:t>渭南市澄城拥有</w:t>
      </w:r>
      <w:r>
        <w:t>40</w:t>
      </w:r>
      <w:r>
        <w:rPr>
          <w:rFonts w:hint="eastAsia"/>
        </w:rPr>
        <w:t>亿吨煤炭、</w:t>
      </w:r>
      <w:r>
        <w:t>8000</w:t>
      </w:r>
      <w:r>
        <w:rPr>
          <w:rFonts w:hint="eastAsia"/>
        </w:rPr>
        <w:t>万吨铝土矿的丰富储量，</w:t>
      </w:r>
      <w:r>
        <w:t>已经初步</w:t>
      </w:r>
      <w:r>
        <w:rPr>
          <w:rFonts w:hint="eastAsia"/>
        </w:rPr>
        <w:t>形成了以煤电铝、煤电硅、煤电光伏等相互融合、循环利用的重点工业区。规划</w:t>
      </w:r>
      <w:r>
        <w:t>充分利用渭南市发展光伏电站的重大机遇，延伸拓展铝产业链，</w:t>
      </w:r>
      <w:r>
        <w:rPr>
          <w:rFonts w:hint="eastAsia"/>
        </w:rPr>
        <w:t>发展下游</w:t>
      </w:r>
      <w:r>
        <w:t>光伏专用铝合金支架，</w:t>
      </w:r>
      <w:r>
        <w:rPr>
          <w:rFonts w:hint="eastAsia"/>
        </w:rPr>
        <w:t>渭南市</w:t>
      </w:r>
      <w:r>
        <w:t>十三五</w:t>
      </w:r>
      <w:r>
        <w:rPr>
          <w:rFonts w:hint="eastAsia"/>
        </w:rPr>
        <w:t>期间</w:t>
      </w:r>
      <w:r>
        <w:t>规划新增光伏装机容量25</w:t>
      </w:r>
      <w:r>
        <w:rPr>
          <w:rFonts w:hint="eastAsia"/>
        </w:rPr>
        <w:t>00MW，预计</w:t>
      </w:r>
      <w:r>
        <w:t>使用铝合金型材50</w:t>
      </w:r>
      <w:r>
        <w:rPr>
          <w:rFonts w:hint="eastAsia"/>
        </w:rPr>
        <w:t>000</w:t>
      </w:r>
      <w:r>
        <w:t>t，</w:t>
      </w:r>
      <w:r>
        <w:rPr>
          <w:rFonts w:hint="eastAsia"/>
        </w:rPr>
        <w:t>拓展</w:t>
      </w:r>
      <w:r>
        <w:t>延伸</w:t>
      </w:r>
      <w:r>
        <w:rPr>
          <w:rFonts w:hint="eastAsia"/>
        </w:rPr>
        <w:t>铝合金</w:t>
      </w:r>
      <w:r>
        <w:t>支架产业链，</w:t>
      </w:r>
      <w:r>
        <w:rPr>
          <w:rFonts w:hint="eastAsia"/>
        </w:rPr>
        <w:t>可</w:t>
      </w:r>
      <w:r>
        <w:t>有效</w:t>
      </w:r>
      <w:r>
        <w:rPr>
          <w:rFonts w:hint="eastAsia"/>
        </w:rPr>
        <w:t>化解</w:t>
      </w:r>
      <w:r>
        <w:t>企业铝产能，促进</w:t>
      </w:r>
      <w:r>
        <w:rPr>
          <w:rFonts w:hint="eastAsia"/>
        </w:rPr>
        <w:t>现有</w:t>
      </w:r>
      <w:r>
        <w:t>产能存量优化转化，</w:t>
      </w:r>
      <w:r>
        <w:rPr>
          <w:rFonts w:hint="eastAsia"/>
        </w:rPr>
        <w:t>提升</w:t>
      </w:r>
      <w:r>
        <w:t>增量、增加项目经济效益</w:t>
      </w:r>
      <w:r>
        <w:rPr>
          <w:rFonts w:hint="eastAsia"/>
        </w:rPr>
        <w:t>，提升</w:t>
      </w:r>
      <w:r>
        <w:t>企业的核心竞争力。</w:t>
      </w:r>
    </w:p>
    <w:p>
      <w:pPr>
        <w:pStyle w:val="128"/>
      </w:pPr>
      <w:r>
        <w:rPr>
          <w:rFonts w:hint="eastAsia"/>
        </w:rPr>
        <w:t>项目3：</w:t>
      </w:r>
      <w:r>
        <w:t>光伏设备制造</w:t>
      </w:r>
    </w:p>
    <w:p>
      <w:pPr>
        <w:pStyle w:val="128"/>
      </w:pPr>
      <w:r>
        <w:rPr>
          <w:rFonts w:hint="eastAsia"/>
        </w:rPr>
        <w:t>在2020年</w:t>
      </w:r>
      <w:r>
        <w:t>以前，引入组件、逆变器</w:t>
      </w:r>
      <w:r>
        <w:rPr>
          <w:rFonts w:hint="eastAsia"/>
        </w:rPr>
        <w:t>等</w:t>
      </w:r>
      <w:r>
        <w:t>核心设备制造企业</w:t>
      </w:r>
      <w:r>
        <w:rPr>
          <w:rFonts w:hint="eastAsia"/>
        </w:rPr>
        <w:t>5</w:t>
      </w:r>
      <w:r>
        <w:rPr>
          <w:rFonts w:hint="eastAsia" w:hAnsi="宋体"/>
        </w:rPr>
        <w:t>～</w:t>
      </w:r>
      <w:r>
        <w:rPr>
          <w:rFonts w:hint="eastAsia"/>
        </w:rPr>
        <w:t>10家</w:t>
      </w:r>
      <w:r>
        <w:t>，</w:t>
      </w:r>
      <w:r>
        <w:rPr>
          <w:rFonts w:hint="eastAsia"/>
        </w:rPr>
        <w:t>形成1GW的</w:t>
      </w:r>
      <w:r>
        <w:t>硅片、组件加工制造及逆变器、变压器等核心设备产能；</w:t>
      </w:r>
      <w:r>
        <w:rPr>
          <w:rFonts w:hint="eastAsia"/>
        </w:rPr>
        <w:t>形成1GW的</w:t>
      </w:r>
      <w:r>
        <w:t>铝合金边框、铝合金支架加工等配套产品产能，</w:t>
      </w:r>
      <w:r>
        <w:rPr>
          <w:rFonts w:hint="eastAsia"/>
        </w:rPr>
        <w:t>光伏主材</w:t>
      </w:r>
      <w:r>
        <w:t>及辅材制造工业总产值</w:t>
      </w:r>
      <w:r>
        <w:rPr>
          <w:rFonts w:hint="eastAsia"/>
        </w:rPr>
        <w:t>达到200亿</w:t>
      </w:r>
      <w:r>
        <w:t>。</w:t>
      </w:r>
    </w:p>
    <w:p>
      <w:pPr>
        <w:pStyle w:val="128"/>
      </w:pPr>
      <w:r>
        <w:rPr>
          <w:rFonts w:hint="eastAsia"/>
        </w:rPr>
        <w:t>（2）风电</w:t>
      </w:r>
    </w:p>
    <w:p>
      <w:pPr>
        <w:pStyle w:val="128"/>
      </w:pPr>
      <w:r>
        <w:rPr>
          <w:rFonts w:hint="eastAsia"/>
        </w:rPr>
        <w:t>项目1：风电站</w:t>
      </w:r>
      <w:r>
        <w:t>建设</w:t>
      </w:r>
    </w:p>
    <w:p>
      <w:pPr>
        <w:pStyle w:val="128"/>
      </w:pPr>
      <w:r>
        <w:rPr>
          <w:rFonts w:hint="eastAsia"/>
        </w:rPr>
        <w:t>2020年</w:t>
      </w:r>
      <w:r>
        <w:t>新增风电装机规模</w:t>
      </w:r>
      <w:r>
        <w:rPr>
          <w:rFonts w:hint="eastAsia"/>
        </w:rPr>
        <w:t>1030MW，</w:t>
      </w:r>
      <w:r>
        <w:t>估算总投资约</w:t>
      </w:r>
      <w:r>
        <w:rPr>
          <w:rFonts w:hint="eastAsia"/>
        </w:rPr>
        <w:t>82.4亿元</w:t>
      </w:r>
      <w:r>
        <w:t>。督促</w:t>
      </w:r>
      <w:r>
        <w:rPr>
          <w:rFonts w:hint="eastAsia"/>
        </w:rPr>
        <w:t>华润潼关风电项目、中广核潼关风电项目、国华</w:t>
      </w:r>
      <w:r>
        <w:t>渭南白水方山风电项目、渭南天润合阳黑池坊</w:t>
      </w:r>
      <w:r>
        <w:rPr>
          <w:rFonts w:hint="eastAsia"/>
        </w:rPr>
        <w:t>风电</w:t>
      </w:r>
      <w:r>
        <w:t>项目</w:t>
      </w:r>
      <w:r>
        <w:rPr>
          <w:rFonts w:hint="eastAsia"/>
        </w:rPr>
        <w:t>等</w:t>
      </w:r>
      <w:r>
        <w:t>核准风电场的开工建设</w:t>
      </w:r>
      <w:r>
        <w:rPr>
          <w:rFonts w:hint="eastAsia"/>
        </w:rPr>
        <w:t>，2017年</w:t>
      </w:r>
      <w:r>
        <w:t>底完成项目建设，争取并网发电，新增风电场装机容量</w:t>
      </w:r>
      <w:r>
        <w:rPr>
          <w:rFonts w:hint="eastAsia"/>
        </w:rPr>
        <w:t>180MW。同时</w:t>
      </w:r>
      <w:r>
        <w:t>加快富平、白水、澄城、合阳、</w:t>
      </w:r>
      <w:r>
        <w:rPr>
          <w:rFonts w:hint="eastAsia"/>
        </w:rPr>
        <w:t>大荔</w:t>
      </w:r>
      <w:r>
        <w:t>、韩城等其他县的风电</w:t>
      </w:r>
      <w:r>
        <w:rPr>
          <w:rFonts w:hint="eastAsia"/>
        </w:rPr>
        <w:t>场</w:t>
      </w:r>
      <w:r>
        <w:t>规划报批，争取纳入国家年度开发计划，</w:t>
      </w:r>
      <w:r>
        <w:rPr>
          <w:rFonts w:hint="eastAsia"/>
        </w:rPr>
        <w:t>2018</w:t>
      </w:r>
      <w:r>
        <w:t>-2020</w:t>
      </w:r>
      <w:r>
        <w:rPr>
          <w:rFonts w:hint="eastAsia"/>
        </w:rPr>
        <w:t>年新增</w:t>
      </w:r>
      <w:r>
        <w:t>风电装机规模</w:t>
      </w:r>
      <w:r>
        <w:rPr>
          <w:rFonts w:hint="eastAsia"/>
        </w:rPr>
        <w:t>850MW。</w:t>
      </w:r>
    </w:p>
    <w:p>
      <w:pPr>
        <w:pStyle w:val="128"/>
      </w:pPr>
      <w:r>
        <w:rPr>
          <w:rFonts w:hint="eastAsia"/>
        </w:rPr>
        <w:t>项目2：引入低风速风机厂商和混凝土塔架制造企业</w:t>
      </w:r>
    </w:p>
    <w:p>
      <w:pPr>
        <w:pStyle w:val="128"/>
      </w:pPr>
      <w:r>
        <w:rPr>
          <w:rFonts w:hint="eastAsia"/>
        </w:rPr>
        <w:t>至2020年</w:t>
      </w:r>
      <w:r>
        <w:t>，引入低风速风机和混凝土塔架</w:t>
      </w:r>
      <w:r>
        <w:rPr>
          <w:rFonts w:hint="eastAsia"/>
        </w:rPr>
        <w:t>研发</w:t>
      </w:r>
      <w:r>
        <w:t>和制造企业各</w:t>
      </w:r>
      <w:r>
        <w:rPr>
          <w:rFonts w:hint="eastAsia"/>
        </w:rPr>
        <w:t>1</w:t>
      </w:r>
      <w:r>
        <w:rPr>
          <w:rFonts w:hint="eastAsia" w:hAnsi="宋体"/>
        </w:rPr>
        <w:t>～</w:t>
      </w:r>
      <w:r>
        <w:t>2</w:t>
      </w:r>
      <w:r>
        <w:rPr>
          <w:rFonts w:hint="eastAsia"/>
        </w:rPr>
        <w:t>家</w:t>
      </w:r>
      <w:r>
        <w:t>，预计总投资</w:t>
      </w:r>
      <w:r>
        <w:rPr>
          <w:rFonts w:hint="eastAsia"/>
        </w:rPr>
        <w:t>3亿元</w:t>
      </w:r>
      <w:r>
        <w:t>。</w:t>
      </w:r>
    </w:p>
    <w:p>
      <w:pPr>
        <w:pStyle w:val="128"/>
      </w:pPr>
      <w:r>
        <w:rPr>
          <w:rFonts w:hint="eastAsia"/>
        </w:rPr>
        <w:t>（3）生物质</w:t>
      </w:r>
    </w:p>
    <w:p>
      <w:pPr>
        <w:pStyle w:val="128"/>
      </w:pPr>
      <w:r>
        <w:rPr>
          <w:rFonts w:hint="eastAsia"/>
        </w:rPr>
        <w:t>紧抓国家</w:t>
      </w:r>
      <w:r>
        <w:t>对新能源产业的政策支持</w:t>
      </w:r>
      <w:r>
        <w:rPr>
          <w:rFonts w:hint="eastAsia"/>
        </w:rPr>
        <w:t>机遇</w:t>
      </w:r>
      <w:r>
        <w:t>，充分利用渭南市</w:t>
      </w:r>
      <w:r>
        <w:rPr>
          <w:rFonts w:hint="eastAsia"/>
        </w:rPr>
        <w:t>丰富</w:t>
      </w:r>
      <w:r>
        <w:t>的生物质资源条件，</w:t>
      </w:r>
      <w:r>
        <w:rPr>
          <w:rFonts w:hint="eastAsia"/>
        </w:rPr>
        <w:t>规划在渭南市</w:t>
      </w:r>
      <w:r>
        <w:t>、</w:t>
      </w:r>
      <w:r>
        <w:rPr>
          <w:rFonts w:hint="eastAsia"/>
        </w:rPr>
        <w:t>大荔县、澄城县、华阴市、</w:t>
      </w:r>
      <w:r>
        <w:t>富平县</w:t>
      </w:r>
      <w:r>
        <w:rPr>
          <w:rFonts w:hint="eastAsia"/>
        </w:rPr>
        <w:t>建设</w:t>
      </w:r>
      <w:r>
        <w:t>3-5</w:t>
      </w:r>
      <w:r>
        <w:rPr>
          <w:rFonts w:hint="eastAsia"/>
        </w:rPr>
        <w:t>个生物质发电厂，生物质发电装机容量达到</w:t>
      </w:r>
      <w:r>
        <w:t>150MW</w:t>
      </w:r>
      <w:r>
        <w:rPr>
          <w:rFonts w:hint="eastAsia"/>
        </w:rPr>
        <w:t>。估算</w:t>
      </w:r>
      <w:r>
        <w:t>总投资约</w:t>
      </w:r>
      <w:r>
        <w:rPr>
          <w:rFonts w:hint="eastAsia"/>
        </w:rPr>
        <w:t>21亿元</w:t>
      </w:r>
      <w:r>
        <w:t>。</w:t>
      </w:r>
    </w:p>
    <w:p>
      <w:pPr>
        <w:pStyle w:val="128"/>
      </w:pPr>
      <w:r>
        <w:rPr>
          <w:rFonts w:hint="eastAsia"/>
        </w:rPr>
        <w:t>积极</w:t>
      </w:r>
      <w:r>
        <w:t>推进</w:t>
      </w:r>
      <w:r>
        <w:rPr>
          <w:rFonts w:hint="eastAsia"/>
        </w:rPr>
        <w:t>大荔旭彤生物质发电项目、渭南奥本华阴3万千瓦生物质沼气发电项目等项目的</w:t>
      </w:r>
      <w:r>
        <w:t>建设工作，争取</w:t>
      </w:r>
      <w:r>
        <w:rPr>
          <w:rFonts w:hint="eastAsia"/>
        </w:rPr>
        <w:t>2018年</w:t>
      </w:r>
      <w:r>
        <w:t>建成投产</w:t>
      </w:r>
      <w:r>
        <w:rPr>
          <w:rFonts w:hint="eastAsia"/>
        </w:rPr>
        <w:t>，</w:t>
      </w:r>
      <w:r>
        <w:t>新增</w:t>
      </w:r>
      <w:r>
        <w:rPr>
          <w:rFonts w:hint="eastAsia"/>
        </w:rPr>
        <w:t>生物质</w:t>
      </w:r>
      <w:r>
        <w:t>发电装机规模6</w:t>
      </w:r>
      <w:r>
        <w:rPr>
          <w:rFonts w:hint="eastAsia"/>
        </w:rPr>
        <w:t>0MW</w:t>
      </w:r>
      <w:r>
        <w:t>；</w:t>
      </w:r>
      <w:r>
        <w:rPr>
          <w:rFonts w:hint="eastAsia"/>
        </w:rPr>
        <w:t>到2018年底</w:t>
      </w:r>
      <w:r>
        <w:t>，完成</w:t>
      </w:r>
      <w:r>
        <w:rPr>
          <w:rFonts w:hint="eastAsia"/>
        </w:rPr>
        <w:t>大荔县</w:t>
      </w:r>
      <w:r>
        <w:t>、澄城县、富平县的生物质发电项目的前期工作，</w:t>
      </w:r>
      <w:r>
        <w:rPr>
          <w:rFonts w:hint="eastAsia"/>
        </w:rPr>
        <w:t>将</w:t>
      </w:r>
      <w:r>
        <w:t>项目纳入</w:t>
      </w:r>
      <w:r>
        <w:rPr>
          <w:rFonts w:hint="eastAsia"/>
        </w:rPr>
        <w:t>国家</w:t>
      </w:r>
      <w:r>
        <w:t>和陕西省的年度开发计划，</w:t>
      </w:r>
      <w:r>
        <w:rPr>
          <w:rFonts w:hint="eastAsia"/>
        </w:rPr>
        <w:t>到2020年底全面</w:t>
      </w:r>
      <w:r>
        <w:t>建成发电，</w:t>
      </w:r>
      <w:r>
        <w:rPr>
          <w:rFonts w:hint="eastAsia"/>
        </w:rPr>
        <w:t>渭南市</w:t>
      </w:r>
      <w:r>
        <w:t>新增生物质发电装机90</w:t>
      </w:r>
      <w:r>
        <w:rPr>
          <w:rFonts w:hint="eastAsia"/>
        </w:rPr>
        <w:t>MW，总体</w:t>
      </w:r>
      <w:r>
        <w:t>装机规模达到15</w:t>
      </w:r>
      <w:r>
        <w:rPr>
          <w:rFonts w:hint="eastAsia"/>
        </w:rPr>
        <w:t>0MW。</w:t>
      </w:r>
    </w:p>
    <w:p>
      <w:pPr>
        <w:pStyle w:val="128"/>
      </w:pPr>
      <w:r>
        <w:rPr>
          <w:rFonts w:hint="eastAsia"/>
        </w:rPr>
        <w:t>（4）地热</w:t>
      </w:r>
    </w:p>
    <w:p>
      <w:pPr>
        <w:pStyle w:val="128"/>
      </w:pPr>
      <w:r>
        <w:rPr>
          <w:rFonts w:hint="eastAsia"/>
        </w:rPr>
        <w:t>a</w:t>
      </w:r>
      <w:r>
        <w:t>）</w:t>
      </w:r>
      <w:r>
        <w:rPr>
          <w:rFonts w:hint="eastAsia"/>
        </w:rPr>
        <w:t>地热水溶气开发项目</w:t>
      </w:r>
    </w:p>
    <w:p>
      <w:pPr>
        <w:pStyle w:val="128"/>
      </w:pPr>
      <w:r>
        <w:rPr>
          <w:rFonts w:hint="eastAsia"/>
        </w:rPr>
        <w:t>将在现已发现的水溶气资源基础上，有针对性地再完成一批勘探井，摸清渭南市水溶气资源的成藏情况及形成机理，在有把握的一个或多个井上进行水溶气示范项目建设。用</w:t>
      </w:r>
      <w:r>
        <w:t>2</w:t>
      </w:r>
      <w:r>
        <w:rPr>
          <w:rFonts w:hint="eastAsia"/>
        </w:rPr>
        <w:t>年时间建设成国家级水溶气资源研发、生产及产业中心。2018年</w:t>
      </w:r>
      <w:r>
        <w:t>底完成</w:t>
      </w:r>
      <w:r>
        <w:rPr>
          <w:rFonts w:hint="eastAsia"/>
        </w:rPr>
        <w:t>包括水溶气的采集、分离、压缩、提纯、储运等技术关键点在内的全部工艺设备及管线。一期项目初步估算投资为</w:t>
      </w:r>
      <w:r>
        <w:t>5</w:t>
      </w:r>
      <w:r>
        <w:rPr>
          <w:rFonts w:hint="eastAsia"/>
        </w:rPr>
        <w:t>亿元人民币。</w:t>
      </w:r>
    </w:p>
    <w:p>
      <w:pPr>
        <w:pStyle w:val="128"/>
      </w:pPr>
      <w:r>
        <w:t>2015</w:t>
      </w:r>
      <w:r>
        <w:rPr>
          <w:rFonts w:hint="eastAsia"/>
        </w:rPr>
        <w:t>～</w:t>
      </w:r>
      <w:r>
        <w:t>2017</w:t>
      </w:r>
      <w:r>
        <w:rPr>
          <w:rFonts w:hint="eastAsia"/>
        </w:rPr>
        <w:t>年水溶气开发计划拟投资</w:t>
      </w:r>
      <w:r>
        <w:t>1.5</w:t>
      </w:r>
      <w:r>
        <w:rPr>
          <w:rFonts w:hint="eastAsia"/>
        </w:rPr>
        <w:t>亿元人民币。主要建设规模和内容是：在已建成五口探井的基础上再实施六至七口水溶气探井，探明</w:t>
      </w:r>
      <w:r>
        <w:t>50km</w:t>
      </w:r>
      <w:r>
        <w:rPr>
          <w:vertAlign w:val="superscript"/>
        </w:rPr>
        <w:t>2</w:t>
      </w:r>
      <w:r>
        <w:rPr>
          <w:rFonts w:hint="eastAsia"/>
        </w:rPr>
        <w:t>～</w:t>
      </w:r>
      <w:r>
        <w:t>60km</w:t>
      </w:r>
      <w:r>
        <w:rPr>
          <w:vertAlign w:val="superscript"/>
        </w:rPr>
        <w:t>2</w:t>
      </w:r>
      <w:r>
        <w:rPr>
          <w:rFonts w:hint="eastAsia"/>
        </w:rPr>
        <w:t>的地热水溶气资源量，并提交国家储委审批，申请获得采矿权；同时外延勘探控制</w:t>
      </w:r>
      <w:r>
        <w:t>100km</w:t>
      </w:r>
      <w:r>
        <w:rPr>
          <w:vertAlign w:val="superscript"/>
        </w:rPr>
        <w:t>2</w:t>
      </w:r>
      <w:r>
        <w:rPr>
          <w:rFonts w:hint="eastAsia"/>
        </w:rPr>
        <w:t>～</w:t>
      </w:r>
      <w:r>
        <w:t>150km</w:t>
      </w:r>
      <w:r>
        <w:rPr>
          <w:vertAlign w:val="superscript"/>
        </w:rPr>
        <w:t>2</w:t>
      </w:r>
      <w:r>
        <w:rPr>
          <w:rFonts w:hint="eastAsia"/>
        </w:rPr>
        <w:t>的资源量；实施</w:t>
      </w:r>
      <w:r>
        <w:t>23</w:t>
      </w:r>
      <w:r>
        <w:rPr>
          <w:rFonts w:hint="eastAsia"/>
        </w:rPr>
        <w:t>口～</w:t>
      </w:r>
      <w:r>
        <w:t>24</w:t>
      </w:r>
      <w:r>
        <w:rPr>
          <w:rFonts w:hint="eastAsia"/>
        </w:rPr>
        <w:t>口开发井，与原有开发井一起形成</w:t>
      </w:r>
      <w:r>
        <w:t>6</w:t>
      </w:r>
      <w:r>
        <w:rPr>
          <w:rFonts w:hint="eastAsia"/>
        </w:rPr>
        <w:t>×</w:t>
      </w:r>
      <w:r>
        <w:t>10</w:t>
      </w:r>
      <w:r>
        <w:rPr>
          <w:vertAlign w:val="superscript"/>
        </w:rPr>
        <w:t>4</w:t>
      </w:r>
      <w:r>
        <w:t>m</w:t>
      </w:r>
      <w:r>
        <w:rPr>
          <w:vertAlign w:val="superscript"/>
        </w:rPr>
        <w:t>3</w:t>
      </w:r>
      <w:r>
        <w:t>/d</w:t>
      </w:r>
      <w:r>
        <w:rPr>
          <w:rFonts w:hint="eastAsia"/>
        </w:rPr>
        <w:t>的生产能力；实施地面集输工程，形成与井配套的集输销售能力；实施两到三口水溶氦气井，形成</w:t>
      </w:r>
      <w:r>
        <w:t>2</w:t>
      </w:r>
      <w:r>
        <w:rPr>
          <w:rFonts w:hint="eastAsia"/>
        </w:rPr>
        <w:t>×</w:t>
      </w:r>
      <w:r>
        <w:t>10</w:t>
      </w:r>
      <w:r>
        <w:rPr>
          <w:vertAlign w:val="superscript"/>
        </w:rPr>
        <w:t>4</w:t>
      </w:r>
      <w:r>
        <w:t>m</w:t>
      </w:r>
      <w:r>
        <w:rPr>
          <w:vertAlign w:val="superscript"/>
        </w:rPr>
        <w:t>3</w:t>
      </w:r>
      <w:r>
        <w:t>/a</w:t>
      </w:r>
      <w:r>
        <w:rPr>
          <w:rFonts w:hint="eastAsia"/>
        </w:rPr>
        <w:t>～</w:t>
      </w:r>
      <w:r>
        <w:t>3</w:t>
      </w:r>
      <w:r>
        <w:rPr>
          <w:rFonts w:hint="eastAsia"/>
        </w:rPr>
        <w:t>×</w:t>
      </w:r>
      <w:r>
        <w:t>10</w:t>
      </w:r>
      <w:r>
        <w:rPr>
          <w:vertAlign w:val="superscript"/>
        </w:rPr>
        <w:t>4</w:t>
      </w:r>
      <w:r>
        <w:t>m</w:t>
      </w:r>
      <w:r>
        <w:rPr>
          <w:vertAlign w:val="superscript"/>
        </w:rPr>
        <w:t>3</w:t>
      </w:r>
      <w:r>
        <w:t>/a</w:t>
      </w:r>
      <w:r>
        <w:rPr>
          <w:rFonts w:hint="eastAsia"/>
        </w:rPr>
        <w:t>的生产能力。</w:t>
      </w:r>
    </w:p>
    <w:p>
      <w:pPr>
        <w:pStyle w:val="128"/>
      </w:pPr>
      <w:r>
        <w:rPr>
          <w:rFonts w:hint="eastAsia"/>
        </w:rPr>
        <w:t>b</w:t>
      </w:r>
      <w:r>
        <w:t>）</w:t>
      </w:r>
      <w:r>
        <w:rPr>
          <w:rFonts w:hint="eastAsia"/>
        </w:rPr>
        <w:t>华阴地热能热电联产示范项目</w:t>
      </w:r>
    </w:p>
    <w:p>
      <w:pPr>
        <w:pStyle w:val="128"/>
      </w:pPr>
      <w:r>
        <w:rPr>
          <w:rFonts w:hint="eastAsia"/>
        </w:rPr>
        <w:t>规划装机规模</w:t>
      </w:r>
      <w:r>
        <w:t>5MW</w:t>
      </w:r>
      <w:r>
        <w:rPr>
          <w:rFonts w:hint="eastAsia"/>
        </w:rPr>
        <w:t>，并对地热发电尾水进行梯级利用。初步投资估算约</w:t>
      </w:r>
      <w:r>
        <w:t>2.1</w:t>
      </w:r>
      <w:r>
        <w:rPr>
          <w:rFonts w:hint="eastAsia"/>
        </w:rPr>
        <w:t>亿元，其中：生产井及回灌井总投资约</w:t>
      </w:r>
      <w:r>
        <w:t>6000</w:t>
      </w:r>
      <w:r>
        <w:rPr>
          <w:rFonts w:hint="eastAsia"/>
        </w:rPr>
        <w:t>万元；地热发电系统投资约</w:t>
      </w:r>
      <w:r>
        <w:t>1986</w:t>
      </w:r>
      <w:r>
        <w:rPr>
          <w:rFonts w:hint="eastAsia"/>
        </w:rPr>
        <w:t>万元；基础及建构筑物投资约</w:t>
      </w:r>
      <w:r>
        <w:t>6200</w:t>
      </w:r>
      <w:r>
        <w:rPr>
          <w:rFonts w:hint="eastAsia"/>
        </w:rPr>
        <w:t>万元；尾水梯级利用系统投资约</w:t>
      </w:r>
      <w:r>
        <w:t>6600</w:t>
      </w:r>
      <w:r>
        <w:rPr>
          <w:rFonts w:hint="eastAsia"/>
        </w:rPr>
        <w:t>万元。该系统以发电为主，地热发电尾水进行梯级综合利用。</w:t>
      </w:r>
    </w:p>
    <w:p>
      <w:pPr>
        <w:pStyle w:val="128"/>
      </w:pPr>
      <w:r>
        <w:rPr>
          <w:rFonts w:hint="eastAsia"/>
        </w:rPr>
        <w:t>项目选址初步优选渭南华阴地区。拟主要采取的技术形式为双工质循环发电技术。该系统以发电为主，地热发电尾水进行梯级综合利用。项目选址初步优选渭南华阴地区作为该项目的目标区。该地区的蓝田</w:t>
      </w:r>
      <w:r>
        <w:t>-</w:t>
      </w:r>
      <w:r>
        <w:rPr>
          <w:rFonts w:hint="eastAsia"/>
        </w:rPr>
        <w:t>灞河组，不仅热储物性条件较好，满足地热回灌，而且资源充足，预测储量为</w:t>
      </w:r>
      <w:r>
        <w:t>66.36</w:t>
      </w:r>
      <w:r>
        <w:rPr>
          <w:rFonts w:hint="eastAsia"/>
        </w:rPr>
        <w:t>×</w:t>
      </w:r>
      <w:r>
        <w:t>10</w:t>
      </w:r>
      <w:r>
        <w:rPr>
          <w:vertAlign w:val="superscript"/>
        </w:rPr>
        <w:t>8</w:t>
      </w:r>
      <w:r>
        <w:t>m</w:t>
      </w:r>
      <w:r>
        <w:rPr>
          <w:vertAlign w:val="superscript"/>
        </w:rPr>
        <w:t>3</w:t>
      </w:r>
      <w:r>
        <w:rPr>
          <w:rFonts w:hint="eastAsia"/>
        </w:rPr>
        <w:t>，可开采热量为</w:t>
      </w:r>
      <w:r>
        <w:t>3.34</w:t>
      </w:r>
      <w:r>
        <w:rPr>
          <w:rFonts w:hint="eastAsia"/>
        </w:rPr>
        <w:t>×</w:t>
      </w:r>
      <w:r>
        <w:t>10</w:t>
      </w:r>
      <w:r>
        <w:rPr>
          <w:vertAlign w:val="superscript"/>
        </w:rPr>
        <w:t>13</w:t>
      </w:r>
      <w:r>
        <w:t>KJ</w:t>
      </w:r>
      <w:r>
        <w:rPr>
          <w:rFonts w:hint="eastAsia"/>
        </w:rPr>
        <w:t>。考虑到开发成本，可持续发展等因素，综合渭河盆地地热开采经验及地热水产出现状，故优选该地区为目标区。</w:t>
      </w:r>
    </w:p>
    <w:p>
      <w:pPr>
        <w:pStyle w:val="128"/>
      </w:pPr>
      <w:r>
        <w:t>c）</w:t>
      </w:r>
      <w:r>
        <w:rPr>
          <w:rFonts w:hint="eastAsia"/>
        </w:rPr>
        <w:t>渭南市居民地热供暖示范项目</w:t>
      </w:r>
    </w:p>
    <w:p>
      <w:pPr>
        <w:pStyle w:val="128"/>
      </w:pPr>
      <w:r>
        <w:rPr>
          <w:rFonts w:hint="eastAsia"/>
        </w:rPr>
        <w:t>渭南城区地热集中供暖项目旨在利用现有的地热资源进行地热集中供暖，总体思路为：采用“地热水+水源热泵”技术，将地热水梯级利用到25℃以下，替代原有燃煤锅炉供暖的基础负荷，保留部分燃煤锅炉或燃气锅炉作为系统调峰设施，同时在地热开发过程中采用供暖尾水的回灌方法达到保护地热资源，实现可持续发展的目的。以中心城区为重点，投资</w:t>
      </w:r>
      <w:r>
        <w:t>6</w:t>
      </w:r>
      <w:r>
        <w:rPr>
          <w:rFonts w:hint="eastAsia"/>
        </w:rPr>
        <w:t>亿元，</w:t>
      </w:r>
      <w:r>
        <w:t>5</w:t>
      </w:r>
      <w:r>
        <w:rPr>
          <w:rFonts w:hint="eastAsia"/>
        </w:rPr>
        <w:t>年内在城区新打地热井</w:t>
      </w:r>
      <w:r>
        <w:t>21</w:t>
      </w:r>
      <w:r>
        <w:rPr>
          <w:rFonts w:hint="eastAsia"/>
        </w:rPr>
        <w:t>眼，回灌井</w:t>
      </w:r>
      <w:r>
        <w:t>10</w:t>
      </w:r>
      <w:r>
        <w:rPr>
          <w:rFonts w:hint="eastAsia"/>
        </w:rPr>
        <w:t>眼，建设集中换热站</w:t>
      </w:r>
      <w:r>
        <w:t>10</w:t>
      </w:r>
      <w:r>
        <w:rPr>
          <w:rFonts w:hint="eastAsia"/>
        </w:rPr>
        <w:t>座，铺设供热管网</w:t>
      </w:r>
      <w:r>
        <w:t>5</w:t>
      </w:r>
      <w:r>
        <w:rPr>
          <w:rFonts w:hint="eastAsia"/>
        </w:rPr>
        <w:t>万米，到</w:t>
      </w:r>
      <w:r>
        <w:t>2020</w:t>
      </w:r>
      <w:r>
        <w:rPr>
          <w:rFonts w:hint="eastAsia"/>
        </w:rPr>
        <w:t>年可实现城市集中供热面积约</w:t>
      </w:r>
      <w:r>
        <w:t>500</w:t>
      </w:r>
      <w:r>
        <w:rPr>
          <w:rFonts w:hint="eastAsia"/>
        </w:rPr>
        <w:t>万平方米。</w:t>
      </w:r>
      <w:bookmarkEnd w:id="193"/>
      <w:bookmarkEnd w:id="194"/>
      <w:bookmarkStart w:id="195" w:name="OLE_LINK69"/>
      <w:bookmarkStart w:id="196" w:name="OLE_LINK101"/>
      <w:bookmarkStart w:id="197" w:name="OLE_LINK109"/>
    </w:p>
    <w:bookmarkEnd w:id="195"/>
    <w:p>
      <w:pPr>
        <w:pStyle w:val="126"/>
      </w:pPr>
      <w:bookmarkStart w:id="198" w:name="OLE_LINK76"/>
      <w:r>
        <w:rPr>
          <w:rFonts w:hint="eastAsia"/>
        </w:rPr>
        <w:t>新材料产业重点项目</w:t>
      </w:r>
    </w:p>
    <w:p>
      <w:pPr>
        <w:pStyle w:val="128"/>
      </w:pPr>
      <w:r>
        <w:rPr>
          <w:rFonts w:hint="eastAsia"/>
        </w:rPr>
        <w:t>加快富平西飞铝业、富平镁基锂电池等项目；加大3D打印专用金属、智能材料、合成生物材料以及电子信息材料的研发及应用，发展高性能复合材料、无机非金属材料和绿色建材产业；大力发展钼基新材料产业，推进华州金钼集团数字矿山建设，加快建设国家级钼及钼化工、钼合金产业聚集区。</w:t>
      </w:r>
    </w:p>
    <w:p>
      <w:pPr>
        <w:pStyle w:val="128"/>
      </w:pPr>
      <w:r>
        <w:rPr>
          <w:rFonts w:hint="eastAsia"/>
        </w:rPr>
        <w:t>渭南</w:t>
      </w:r>
      <w:r>
        <w:t>高新区</w:t>
      </w:r>
      <w:r>
        <w:rPr>
          <w:rFonts w:hint="eastAsia"/>
        </w:rPr>
        <w:t>3D打印</w:t>
      </w:r>
      <w:r>
        <w:t>产业培育基地,</w:t>
      </w:r>
      <w:r>
        <w:rPr>
          <w:rFonts w:hint="eastAsia"/>
        </w:rPr>
        <w:t>主要开展非金属材料及金属材料的增材制造，同时加强文化创意领域推广应用，打造渭南高新区增材制造应用示范区。到2020年</w:t>
      </w:r>
      <w:r>
        <w:t>，争取能在增材制造专用材料研发方面实现</w:t>
      </w:r>
      <w:r>
        <w:rPr>
          <w:rFonts w:hint="eastAsia"/>
        </w:rPr>
        <w:t>1～2项关键</w:t>
      </w:r>
      <w:r>
        <w:t>技术的突破和产业化</w:t>
      </w:r>
      <w:r>
        <w:rPr>
          <w:rFonts w:hint="eastAsia"/>
        </w:rPr>
        <w:t>；</w:t>
      </w:r>
      <w:r>
        <w:t>针对金属及非金属增材制造领域，建成</w:t>
      </w:r>
      <w:r>
        <w:rPr>
          <w:rFonts w:hint="eastAsia"/>
        </w:rPr>
        <w:t>1个</w:t>
      </w:r>
      <w:r>
        <w:t>国家级工程实验室，或工程中心，开展增材制造技术从基础研究走向产业化应用中间环节的工程化研究，形成以产品及技术收益权为主的增材制造产业孵化基地。</w:t>
      </w:r>
    </w:p>
    <w:bookmarkEnd w:id="196"/>
    <w:bookmarkEnd w:id="197"/>
    <w:bookmarkEnd w:id="198"/>
    <w:p>
      <w:pPr>
        <w:pStyle w:val="126"/>
      </w:pPr>
      <w:bookmarkStart w:id="199" w:name="OLE_LINK41"/>
      <w:bookmarkStart w:id="200" w:name="OLE_LINK52"/>
      <w:r>
        <w:rPr>
          <w:rFonts w:hint="eastAsia"/>
        </w:rPr>
        <w:t>重点建设行业平台</w:t>
      </w:r>
    </w:p>
    <w:p>
      <w:pPr>
        <w:pStyle w:val="128"/>
      </w:pPr>
      <w:r>
        <w:rPr>
          <w:rFonts w:hint="eastAsia"/>
        </w:rPr>
        <w:t>随着新能源</w:t>
      </w:r>
      <w:r>
        <w:t>新材料产业集群的</w:t>
      </w:r>
      <w:r>
        <w:rPr>
          <w:rFonts w:hint="eastAsia"/>
        </w:rPr>
        <w:t>不断发展，新技术</w:t>
      </w:r>
      <w:r>
        <w:t>、</w:t>
      </w:r>
      <w:r>
        <w:rPr>
          <w:rFonts w:hint="eastAsia"/>
        </w:rPr>
        <w:t>优质</w:t>
      </w:r>
      <w:r>
        <w:t>资源</w:t>
      </w:r>
      <w:r>
        <w:rPr>
          <w:rFonts w:hint="eastAsia"/>
        </w:rPr>
        <w:t>的整合、</w:t>
      </w:r>
      <w:r>
        <w:t>数据收集工作</w:t>
      </w:r>
      <w:r>
        <w:rPr>
          <w:rFonts w:hint="eastAsia"/>
        </w:rPr>
        <w:t>对产业的</w:t>
      </w:r>
      <w:r>
        <w:t>发展将起到更为重要的作用</w:t>
      </w:r>
      <w:r>
        <w:rPr>
          <w:rFonts w:hint="eastAsia"/>
        </w:rPr>
        <w:t>。</w:t>
      </w:r>
      <w:r>
        <w:t>依托</w:t>
      </w:r>
      <w:r>
        <w:rPr>
          <w:rFonts w:hint="eastAsia"/>
        </w:rPr>
        <w:t>互联网信息</w:t>
      </w:r>
      <w:r>
        <w:t>技术</w:t>
      </w:r>
      <w:r>
        <w:rPr>
          <w:rFonts w:hint="eastAsia"/>
        </w:rPr>
        <w:t>，云平台</w:t>
      </w:r>
      <w:r>
        <w:t>技术</w:t>
      </w:r>
      <w:r>
        <w:rPr>
          <w:rFonts w:hint="eastAsia"/>
        </w:rPr>
        <w:t>创建</w:t>
      </w:r>
      <w:r>
        <w:t>产业平台，可以对</w:t>
      </w:r>
      <w:r>
        <w:rPr>
          <w:rFonts w:hint="eastAsia"/>
        </w:rPr>
        <w:t>新材料</w:t>
      </w:r>
      <w:r>
        <w:t>、</w:t>
      </w:r>
      <w:r>
        <w:rPr>
          <w:rFonts w:hint="eastAsia"/>
        </w:rPr>
        <w:t>新能源的</w:t>
      </w:r>
      <w:r>
        <w:t>行业信息、技术信息进行整合</w:t>
      </w:r>
      <w:r>
        <w:rPr>
          <w:rFonts w:hint="eastAsia"/>
        </w:rPr>
        <w:t>，与之相关的</w:t>
      </w:r>
      <w:r>
        <w:t>行业信息会</w:t>
      </w:r>
      <w:r>
        <w:rPr>
          <w:rFonts w:hint="eastAsia"/>
        </w:rPr>
        <w:t>及时发</w:t>
      </w:r>
      <w:r>
        <w:t>布</w:t>
      </w:r>
      <w:r>
        <w:rPr>
          <w:rFonts w:hint="eastAsia"/>
        </w:rPr>
        <w:t>，</w:t>
      </w:r>
      <w:r>
        <w:t>便于</w:t>
      </w:r>
      <w:r>
        <w:rPr>
          <w:rFonts w:hint="eastAsia"/>
        </w:rPr>
        <w:t>政府</w:t>
      </w:r>
      <w:r>
        <w:t>及</w:t>
      </w:r>
      <w:r>
        <w:rPr>
          <w:rFonts w:hint="eastAsia"/>
        </w:rPr>
        <w:t>企业及时掌握</w:t>
      </w:r>
      <w:r>
        <w:t>行业动态、了解</w:t>
      </w:r>
      <w:r>
        <w:rPr>
          <w:rFonts w:hint="eastAsia"/>
        </w:rPr>
        <w:t>行业</w:t>
      </w:r>
      <w:r>
        <w:t>发展方向</w:t>
      </w:r>
      <w:r>
        <w:rPr>
          <w:rFonts w:hint="eastAsia"/>
        </w:rPr>
        <w:t>；为</w:t>
      </w:r>
      <w:r>
        <w:t>新材料、新能源</w:t>
      </w:r>
      <w:r>
        <w:rPr>
          <w:rFonts w:hint="eastAsia"/>
        </w:rPr>
        <w:t>企业</w:t>
      </w:r>
      <w:r>
        <w:t>提供信息交流</w:t>
      </w:r>
      <w:r>
        <w:rPr>
          <w:rFonts w:hint="eastAsia"/>
        </w:rPr>
        <w:t>，</w:t>
      </w:r>
      <w:r>
        <w:t>展示各企业业绩，</w:t>
      </w:r>
      <w:r>
        <w:rPr>
          <w:rFonts w:hint="eastAsia"/>
        </w:rPr>
        <w:t>最新产品、</w:t>
      </w:r>
      <w:r>
        <w:t>技术成果</w:t>
      </w:r>
      <w:r>
        <w:rPr>
          <w:rFonts w:hint="eastAsia"/>
        </w:rPr>
        <w:t>等</w:t>
      </w:r>
      <w:r>
        <w:t>，</w:t>
      </w:r>
      <w:r>
        <w:rPr>
          <w:rFonts w:hint="eastAsia"/>
        </w:rPr>
        <w:t>搭建</w:t>
      </w:r>
      <w:r>
        <w:t>企业间的相互合作</w:t>
      </w:r>
      <w:r>
        <w:rPr>
          <w:rFonts w:hint="eastAsia"/>
        </w:rPr>
        <w:t>平台；</w:t>
      </w:r>
      <w:r>
        <w:t>同时</w:t>
      </w:r>
      <w:r>
        <w:rPr>
          <w:rFonts w:hint="eastAsia"/>
        </w:rPr>
        <w:t>平台</w:t>
      </w:r>
      <w:r>
        <w:t>可以进行</w:t>
      </w:r>
      <w:r>
        <w:rPr>
          <w:rFonts w:hint="eastAsia"/>
        </w:rPr>
        <w:t>已运行新能源电站的在线管理</w:t>
      </w:r>
      <w:r>
        <w:t>，</w:t>
      </w:r>
      <w:r>
        <w:rPr>
          <w:rFonts w:hint="eastAsia"/>
        </w:rPr>
        <w:t>对已运行电站进行运行状态监测、</w:t>
      </w:r>
      <w:r>
        <w:t>数据</w:t>
      </w:r>
      <w:r>
        <w:rPr>
          <w:rFonts w:hint="eastAsia"/>
        </w:rPr>
        <w:t>收集和技术水平分析。平台提供的资源分析、设计水平分析、建设质量分析、运维水平分析等功能，将覆盖新能源电站从设计到施工、运行和维护全过程，为</w:t>
      </w:r>
      <w:r>
        <w:t>政府和企业提供可靠的</w:t>
      </w:r>
      <w:r>
        <w:rPr>
          <w:rFonts w:hint="eastAsia"/>
        </w:rPr>
        <w:t>新能源</w:t>
      </w:r>
      <w:r>
        <w:t>电站技术支持服务。</w:t>
      </w:r>
    </w:p>
    <w:p>
      <w:pPr>
        <w:pStyle w:val="129"/>
      </w:pPr>
      <w:r>
        <w:drawing>
          <wp:inline distT="0" distB="0" distL="0" distR="0">
            <wp:extent cx="3771900" cy="2418080"/>
            <wp:effectExtent l="0" t="0" r="0" b="1270"/>
            <wp:docPr id="225" name="图片 25" descr="C:\Users\12017\AppData\Roaming\Tencent\Users\497121372\QQ\WinTemp\RichOle\QLZXB3HLEKOZ%}YY83(GVU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5" descr="C:\Users\12017\AppData\Roaming\Tencent\Users\497121372\QQ\WinTemp\RichOle\QLZXB3HLEKOZ%}YY83(GVUJ.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3789458" cy="2429604"/>
                    </a:xfrm>
                    <a:prstGeom prst="rect">
                      <a:avLst/>
                    </a:prstGeom>
                    <a:noFill/>
                    <a:ln>
                      <a:noFill/>
                    </a:ln>
                  </pic:spPr>
                </pic:pic>
              </a:graphicData>
            </a:graphic>
          </wp:inline>
        </w:drawing>
      </w:r>
    </w:p>
    <w:p>
      <w:pPr>
        <w:pStyle w:val="137"/>
        <w:numPr>
          <w:ilvl w:val="0"/>
          <w:numId w:val="22"/>
        </w:numPr>
        <w:sectPr>
          <w:pgSz w:w="11906" w:h="16838"/>
          <w:pgMar w:top="1440" w:right="1588" w:bottom="1440" w:left="1588" w:header="851" w:footer="992" w:gutter="0"/>
          <w:pgNumType w:fmt="decimal"/>
          <w:cols w:space="720" w:num="1"/>
          <w:docGrid w:linePitch="312" w:charSpace="0"/>
        </w:sectPr>
      </w:pPr>
      <w:r>
        <w:rPr>
          <w:rFonts w:hint="eastAsia"/>
        </w:rPr>
        <w:t>行业平台功能</w:t>
      </w:r>
      <w:r>
        <w:t>结构图</w:t>
      </w:r>
      <w:bookmarkEnd w:id="199"/>
      <w:bookmarkEnd w:id="200"/>
    </w:p>
    <w:p>
      <w:pPr>
        <w:pStyle w:val="132"/>
        <w:numPr>
          <w:ilvl w:val="0"/>
          <w:numId w:val="21"/>
        </w:numPr>
      </w:pPr>
      <w:r>
        <w:rPr>
          <w:rFonts w:hint="eastAsia"/>
        </w:rPr>
        <w:t>渭南市重点建设项目列表</w:t>
      </w:r>
    </w:p>
    <w:tbl>
      <w:tblPr>
        <w:tblStyle w:val="45"/>
        <w:tblW w:w="13962" w:type="dxa"/>
        <w:tblInd w:w="93" w:type="dxa"/>
        <w:tblLayout w:type="fixed"/>
        <w:tblCellMar>
          <w:top w:w="0" w:type="dxa"/>
          <w:left w:w="108" w:type="dxa"/>
          <w:bottom w:w="0" w:type="dxa"/>
          <w:right w:w="108" w:type="dxa"/>
        </w:tblCellMar>
      </w:tblPr>
      <w:tblGrid>
        <w:gridCol w:w="724"/>
        <w:gridCol w:w="3119"/>
        <w:gridCol w:w="1134"/>
        <w:gridCol w:w="1417"/>
        <w:gridCol w:w="4808"/>
        <w:gridCol w:w="2760"/>
      </w:tblGrid>
      <w:tr>
        <w:tblPrEx>
          <w:tblLayout w:type="fixed"/>
          <w:tblCellMar>
            <w:top w:w="0" w:type="dxa"/>
            <w:left w:w="108" w:type="dxa"/>
            <w:bottom w:w="0" w:type="dxa"/>
            <w:right w:w="108" w:type="dxa"/>
          </w:tblCellMar>
        </w:tblPrEx>
        <w:trPr>
          <w:trHeight w:val="270" w:hRule="atLeast"/>
          <w:tblHeader/>
        </w:trPr>
        <w:tc>
          <w:tcPr>
            <w:tcW w:w="72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序号</w:t>
            </w:r>
          </w:p>
        </w:tc>
        <w:tc>
          <w:tcPr>
            <w:tcW w:w="3119"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企业名称</w:t>
            </w:r>
          </w:p>
        </w:tc>
        <w:tc>
          <w:tcPr>
            <w:tcW w:w="1134"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投资</w:t>
            </w:r>
          </w:p>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（亿元）</w:t>
            </w:r>
          </w:p>
        </w:tc>
        <w:tc>
          <w:tcPr>
            <w:tcW w:w="1417"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产业类别</w:t>
            </w:r>
          </w:p>
        </w:tc>
        <w:tc>
          <w:tcPr>
            <w:tcW w:w="4808"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主要产品及产能</w:t>
            </w:r>
          </w:p>
        </w:tc>
        <w:tc>
          <w:tcPr>
            <w:tcW w:w="276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项目建设地点</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天臣新能源（渭南）有限公司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46</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新能源汽车</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日产350万支锂离子动力电池</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渭南市高新技术产业开发区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2</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陕西沃特玛新能源有限公司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50</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新能源汽车</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年产10GW圆柱型锂离子电池生产线。</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渭南市高新技术产业开发区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3</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陕西中盛达锂电实业有限公司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3</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新能源汽车</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5条环保型锂电池生产线，年产值不低于3.6亿元</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白水雷公循环经济产业园区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4</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陕西威楠高科（集团）实业有限责任公司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3.4</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新能源汽车</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渭南高新区新能源汽车电池标准厂房建设项目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渭南市高新技术产业开发区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5</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深圳市星美新能源汽车有限公司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10</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新能源汽车</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星美新能源10亿安时磷酸铁锂电池生产项目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渭南市高新技术产业开发区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6</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陕西</w:t>
            </w:r>
            <w:r>
              <w:rPr>
                <w:rFonts w:hint="eastAsia" w:ascii="宋体" w:hAnsi="宋体" w:cs="宋体"/>
                <w:color w:val="000000"/>
                <w:kern w:val="0"/>
                <w:sz w:val="22"/>
                <w:szCs w:val="22"/>
                <w:lang w:eastAsia="zh-CN"/>
              </w:rPr>
              <w:t>德</w:t>
            </w:r>
            <w:r>
              <w:rPr>
                <w:rFonts w:hint="eastAsia" w:ascii="宋体" w:hAnsi="宋体" w:cs="宋体"/>
                <w:color w:val="000000"/>
                <w:kern w:val="0"/>
                <w:sz w:val="22"/>
                <w:szCs w:val="22"/>
              </w:rPr>
              <w:t>飞新能源有限公司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1.2</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新能源汽车</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锂电池</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大荔县科技产业园区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7</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100</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新能源汽车</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整车生产项目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渭南市高新技术产业开发区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8</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10</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新能源汽车</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30万台套驱动电机系统</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渭南市高新技术产业开发区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9</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auto"/>
                <w:kern w:val="0"/>
                <w:sz w:val="22"/>
                <w:szCs w:val="22"/>
              </w:rPr>
            </w:pPr>
            <w:r>
              <w:rPr>
                <w:rFonts w:hint="eastAsia" w:ascii="宋体" w:hAnsi="宋体" w:cs="宋体"/>
                <w:color w:val="auto"/>
                <w:kern w:val="0"/>
                <w:sz w:val="22"/>
                <w:szCs w:val="22"/>
              </w:rPr>
              <w:t>陕西中地新能源开发有限责任公司白水分公司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1.9</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光伏发电</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白水县城关镇</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10</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auto"/>
                <w:kern w:val="0"/>
                <w:sz w:val="22"/>
                <w:szCs w:val="22"/>
              </w:rPr>
            </w:pPr>
            <w:r>
              <w:rPr>
                <w:rFonts w:hint="eastAsia" w:ascii="宋体" w:hAnsi="宋体" w:cs="宋体"/>
                <w:color w:val="auto"/>
                <w:kern w:val="0"/>
                <w:sz w:val="22"/>
                <w:szCs w:val="22"/>
              </w:rPr>
              <w:t>国华能源投资有限公司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2.7</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光伏发电</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白水县林皋镇</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11</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auto"/>
                <w:kern w:val="0"/>
                <w:sz w:val="22"/>
                <w:szCs w:val="22"/>
              </w:rPr>
            </w:pPr>
            <w:r>
              <w:rPr>
                <w:rFonts w:hint="eastAsia" w:ascii="宋体" w:hAnsi="宋体" w:cs="宋体"/>
                <w:color w:val="auto"/>
                <w:kern w:val="0"/>
                <w:sz w:val="22"/>
                <w:szCs w:val="22"/>
              </w:rPr>
              <w:t>昌盛日电</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9</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农副产品、光伏发电</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白水县雷公循环经济产业园</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12</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auto"/>
                <w:kern w:val="0"/>
                <w:sz w:val="22"/>
                <w:szCs w:val="22"/>
              </w:rPr>
            </w:pPr>
            <w:r>
              <w:rPr>
                <w:rFonts w:hint="eastAsia" w:ascii="宋体" w:hAnsi="宋体" w:cs="宋体"/>
                <w:color w:val="auto"/>
                <w:kern w:val="0"/>
                <w:sz w:val="22"/>
                <w:szCs w:val="22"/>
              </w:rPr>
              <w:t>陕西合阳桂花清洁能源有限公司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18</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合阳桂花150MW太阳能光伏发电项目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合阳县工业集中区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13</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auto"/>
                <w:kern w:val="0"/>
                <w:sz w:val="22"/>
                <w:szCs w:val="22"/>
              </w:rPr>
            </w:pPr>
            <w:r>
              <w:rPr>
                <w:rFonts w:hint="eastAsia" w:ascii="宋体" w:hAnsi="宋体" w:cs="宋体"/>
                <w:color w:val="auto"/>
                <w:kern w:val="0"/>
                <w:sz w:val="22"/>
                <w:szCs w:val="22"/>
              </w:rPr>
              <w:t>蒲城县孙镇政府</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11</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蒲城隆基生态光伏发电项目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蒲城县工业园区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14</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auto"/>
                <w:kern w:val="0"/>
                <w:sz w:val="22"/>
                <w:szCs w:val="22"/>
              </w:rPr>
            </w:pPr>
            <w:r>
              <w:rPr>
                <w:rFonts w:hint="eastAsia" w:ascii="宋体" w:hAnsi="宋体" w:cs="宋体"/>
                <w:color w:val="auto"/>
                <w:kern w:val="0"/>
                <w:sz w:val="22"/>
                <w:szCs w:val="22"/>
              </w:rPr>
              <w:t>正泰新能源公司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16.2</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韩城市正泰新能源200MWp光伏并网发电项目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韩城市</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15</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150</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渭北旱塬地区光伏发电领跑者示范基地</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渭北旱塬地区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16</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5</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澄城光伏发电铝合金支架项目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澄城县工业园区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17</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50</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1GW硅片及组件加工项目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渭南市高新技术产业开发区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18</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汉能集团</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年产量600MW的薄膜组件</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渭南市高新技术产业开发区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19</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华润新能源风能有限公司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4.2</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华润潼关风电项目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潼关县秦东镇和港口镇台塬</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20</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中广核风电有限公司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3</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中广核潼关风电项目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潼关县城东北约7公里</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21</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国华能源投资有限公司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3</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国华白水风电项目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白水县方山林场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22</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渭南天润创先新能源公司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4.2</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天润创先合阳风电项目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合阳县</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23</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陕西黄河能源公司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4.2</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陕西黄河能源潼关三河口风电项目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潼关县</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24</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68</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渭北850MW风电项目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富平、白水、澄城、合阳、大荔、韩城</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25</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　</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3</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低风速风机厂商和混凝土塔架制造</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大荔县科技产业园区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26</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6</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城市居民供暖项目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渭南市区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27</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5</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地热发电项目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渭南市区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28</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4</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地热研发基地建设项目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渭南市高新技术产业开发区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29</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10</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水溶气提取项目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渭南市高新技术产业开发区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30</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4.2</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大荔旭彤生物质发电项目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大荔县</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31</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北京寰慧科技集团有限公司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4.2</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澄城秦尧电厂生物质发电项目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澄城县工业园区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32</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渭南奥本新能源开发有限公司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4.2</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新能源</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渭南奥本华阴3万千瓦生物质沼气发电项目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华阴市陕西农垦科技示范园</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33</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渭南高新区惠丰新材料科技有限公司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2.4</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新材料</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年产各类新型医药中间体9300吨</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渭南市高新技术产业开发区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34</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新材料</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光伏级EVA制造</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渭南市高新技术产业开发区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35</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陕西长石电子材料科技有限公司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1.6</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新材料</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覆铜板、红外碳晶电子发热板</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大荔县科技产业园区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36</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陕西宸宇保温材料有限公司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2.4</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新材料</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墙体保温材料</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大荔县科技产业园区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37</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陕西亚升新型材料有限公司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1.3</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新材料</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加气块年产100万立方米</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大荔县科技产业园区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38</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陕西汉沣新能源有限公司白水分公司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0.6</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新材料</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年产20万吨生物质颗粒燃料</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白水雷公循环经济产业园区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39</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西安瑞联近代电子材料有限公司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2.2</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新材料</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光电显示材料生产基地(二期）</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蒲城县工业园区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40</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西安中燃科技发展有限责任公司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4.3</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新材料</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黄姜皂素生产线建设项目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蒲城县工业园区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41</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陕西华捷奥海科技有限公司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1.5</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新材料</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新建2万吨纳米重防腐材料生产线</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蒲城县工业园区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42</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西安瑞鹰化工科技有限公司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1.2</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新材料</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年产1000吨氢化丁腈项目生产线</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蒲城县工业园区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43</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兴海再生资源有限公司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1.2</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新材料</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废旧轮胎生产线</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蒲城县工业园区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44</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陕西蒲城禾合环保新材料有限公司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3.7</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新材料</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新材料环保催化剂炼油助剂建设项目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蒲城县工业园区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45</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蒲城友泰塑业有限公司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2.2</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新材料</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10万吨/年间歇式聚丙烯装置建设项目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蒲城县工业园区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46</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蒲城正功气体公司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0.6</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新材料</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年产10万吨食品级高纯二氧化碳项目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蒲城县工业园区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47</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西安祥火燃料环保公司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1.1</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新材料</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有机溶剂废料综合利用项目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蒲城县工业园区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48</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渭南高新区火炬科技发展有限责任公司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10</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新材料</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渭南高新区3D打印产业培育基地项目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渭南市高新技术产业开发区</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49</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秦天科技公司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3</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新材料</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韩城市秦天科技DTC相变材料项目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韩城市</w:t>
            </w:r>
          </w:p>
        </w:tc>
      </w:tr>
      <w:tr>
        <w:tblPrEx>
          <w:tblLayout w:type="fixed"/>
          <w:tblCellMar>
            <w:top w:w="0" w:type="dxa"/>
            <w:left w:w="108" w:type="dxa"/>
            <w:bottom w:w="0" w:type="dxa"/>
            <w:right w:w="108" w:type="dxa"/>
          </w:tblCellMar>
        </w:tblPrEx>
        <w:trPr>
          <w:trHeight w:val="270" w:hRule="atLeast"/>
        </w:trPr>
        <w:tc>
          <w:tcPr>
            <w:tcW w:w="724"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50</w:t>
            </w:r>
          </w:p>
        </w:tc>
        <w:tc>
          <w:tcPr>
            <w:tcW w:w="311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陕西宸宇节能材料有限公司</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cs="宋体"/>
                <w:color w:val="000000"/>
                <w:kern w:val="0"/>
                <w:sz w:val="22"/>
                <w:szCs w:val="22"/>
              </w:rPr>
            </w:pPr>
            <w:r>
              <w:rPr>
                <w:rFonts w:hint="eastAsia" w:ascii="宋体" w:hAnsi="宋体" w:cs="宋体"/>
                <w:color w:val="000000"/>
                <w:kern w:val="0"/>
                <w:sz w:val="22"/>
                <w:szCs w:val="22"/>
              </w:rPr>
              <w:t>4.9</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新材料</w:t>
            </w:r>
          </w:p>
        </w:tc>
        <w:tc>
          <w:tcPr>
            <w:tcW w:w="4808"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大荔聚氨酯板材及钢结构生产线项目</w:t>
            </w:r>
          </w:p>
        </w:tc>
        <w:tc>
          <w:tcPr>
            <w:tcW w:w="2760"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宋体" w:hAnsi="宋体" w:cs="宋体"/>
                <w:color w:val="000000"/>
                <w:kern w:val="0"/>
                <w:sz w:val="22"/>
                <w:szCs w:val="22"/>
              </w:rPr>
            </w:pPr>
            <w:r>
              <w:rPr>
                <w:rFonts w:hint="eastAsia" w:ascii="宋体" w:hAnsi="宋体" w:cs="宋体"/>
                <w:color w:val="000000"/>
                <w:kern w:val="0"/>
                <w:sz w:val="22"/>
                <w:szCs w:val="22"/>
              </w:rPr>
              <w:t>大荔县科技产业园区</w:t>
            </w:r>
          </w:p>
        </w:tc>
      </w:tr>
    </w:tbl>
    <w:p>
      <w:pPr>
        <w:pStyle w:val="128"/>
        <w:ind w:left="0" w:leftChars="0" w:firstLine="0" w:firstLineChars="0"/>
      </w:pPr>
    </w:p>
    <w:p>
      <w:pPr>
        <w:pStyle w:val="128"/>
      </w:pPr>
    </w:p>
    <w:p>
      <w:pPr>
        <w:pStyle w:val="128"/>
      </w:pPr>
    </w:p>
    <w:p>
      <w:pPr>
        <w:pStyle w:val="128"/>
        <w:sectPr>
          <w:pgSz w:w="16838" w:h="11906" w:orient="landscape"/>
          <w:pgMar w:top="1588" w:right="1440" w:bottom="1588" w:left="1440" w:header="851" w:footer="992" w:gutter="0"/>
          <w:pgNumType w:fmt="decimal"/>
          <w:cols w:space="720" w:num="1"/>
          <w:docGrid w:linePitch="326" w:charSpace="0"/>
        </w:sectPr>
      </w:pPr>
    </w:p>
    <w:p>
      <w:pPr>
        <w:pStyle w:val="123"/>
      </w:pPr>
      <w:bookmarkStart w:id="201" w:name="_Toc29493"/>
      <w:bookmarkStart w:id="202" w:name="OLE_LINK2"/>
      <w:bookmarkStart w:id="203" w:name="OLE_LINK16"/>
      <w:r>
        <w:rPr>
          <w:rFonts w:hint="eastAsia"/>
        </w:rPr>
        <w:t>效益分析</w:t>
      </w:r>
      <w:bookmarkEnd w:id="201"/>
    </w:p>
    <w:p>
      <w:pPr>
        <w:pStyle w:val="125"/>
      </w:pPr>
      <w:bookmarkStart w:id="204" w:name="_Toc5260"/>
      <w:r>
        <w:rPr>
          <w:rFonts w:hint="eastAsia"/>
        </w:rPr>
        <w:t>生态环境</w:t>
      </w:r>
      <w:r>
        <w:t>效益分析</w:t>
      </w:r>
      <w:bookmarkEnd w:id="204"/>
    </w:p>
    <w:p>
      <w:pPr>
        <w:pStyle w:val="128"/>
      </w:pPr>
      <w:r>
        <w:rPr>
          <w:rFonts w:hint="eastAsia"/>
        </w:rPr>
        <w:t>根据国务院办公厅</w:t>
      </w:r>
      <w:r>
        <w:t>2014</w:t>
      </w:r>
      <w:r>
        <w:rPr>
          <w:rFonts w:hint="eastAsia"/>
        </w:rPr>
        <w:t>年发布的《能源发展战略行动计划》（</w:t>
      </w:r>
      <w:r>
        <w:t>2014</w:t>
      </w:r>
      <w:r>
        <w:rPr>
          <w:rFonts w:hint="eastAsia"/>
        </w:rPr>
        <w:t>-</w:t>
      </w:r>
      <w:r>
        <w:t>2020</w:t>
      </w:r>
      <w:r>
        <w:rPr>
          <w:rFonts w:hint="eastAsia"/>
        </w:rPr>
        <w:t>年），到</w:t>
      </w:r>
      <w:r>
        <w:t>2020</w:t>
      </w:r>
      <w:r>
        <w:rPr>
          <w:rFonts w:hint="eastAsia"/>
        </w:rPr>
        <w:t>年，非化石能源占一次能源消费比重达到</w:t>
      </w:r>
      <w:r>
        <w:t>15%</w:t>
      </w:r>
      <w:r>
        <w:rPr>
          <w:rFonts w:hint="eastAsia"/>
        </w:rPr>
        <w:t>，2030年非化石能源占比提高到20%左右。大力发展新能源和可再生能源，是推进能源多元清洁发展、培育战略性新兴产业的重要战略举措，也是保护生态环境、应对气候变化、实现我国经济社会可持续发展的重要措施和迫切需要。</w:t>
      </w:r>
    </w:p>
    <w:p>
      <w:pPr>
        <w:pStyle w:val="128"/>
      </w:pPr>
      <w:r>
        <w:rPr>
          <w:rFonts w:hint="eastAsia"/>
        </w:rPr>
        <w:t>2</w:t>
      </w:r>
      <w:r>
        <w:t>016</w:t>
      </w:r>
      <w:r>
        <w:rPr>
          <w:rFonts w:hint="eastAsia"/>
        </w:rPr>
        <w:t>年3月，为实现2020、2030年非化石能源占一次能源消费比重分别达到15%、20%的能源发展战略目标，国家能源局发布《关于建立可再生能源开发利用目标引导制度的指导意见》，公布了2020年各省（自治区、直辖市）行政区域全社会用电量中非水电可再生能源电力消纳量比重指标，2020年陕西省全社会用电量中非水电可再生能源电力消纳量比重指标为10</w:t>
      </w:r>
      <w:r>
        <w:t>%。</w:t>
      </w:r>
    </w:p>
    <w:p>
      <w:pPr>
        <w:pStyle w:val="128"/>
      </w:pPr>
      <w:r>
        <w:rPr>
          <w:rFonts w:hint="eastAsia"/>
        </w:rPr>
        <w:t>关中城市群已经成为全国大气污染严重的地区之一，被纳入全国大气污染重点防治区域“三区十群”。《陕西省“治污降霾,保卫蓝天”五年行动计划（2013-2017年）》中指出，为促进我省产业结构调整和发展方式转变，助推节能环保、新能源等战略性新兴产业发展，大力发展清洁能源。大力推进风能、太阳能、生物质能和地热能等可再生能源开发利用，逐步提高清洁能源使用比重。</w:t>
      </w:r>
    </w:p>
    <w:p>
      <w:pPr>
        <w:pStyle w:val="128"/>
      </w:pPr>
      <w:r>
        <w:rPr>
          <w:rFonts w:hint="eastAsia"/>
        </w:rPr>
        <w:t>渭南市在</w:t>
      </w:r>
      <w:r>
        <w:t>当下能源革命和</w:t>
      </w:r>
      <w:r>
        <w:rPr>
          <w:rFonts w:hint="eastAsia"/>
        </w:rPr>
        <w:t>治污减霾</w:t>
      </w:r>
      <w:r>
        <w:t>构建节约环保型社会的大背景下，</w:t>
      </w:r>
      <w:r>
        <w:rPr>
          <w:rFonts w:hint="eastAsia"/>
        </w:rPr>
        <w:t>应积极</w:t>
      </w:r>
      <w:r>
        <w:t>响应和利用好国家政策，大力推进</w:t>
      </w:r>
      <w:r>
        <w:rPr>
          <w:rFonts w:hint="eastAsia"/>
        </w:rPr>
        <w:t>新能源</w:t>
      </w:r>
      <w:r>
        <w:t>发电项目建设，提高可再生能源发电量和用电量比例，</w:t>
      </w:r>
      <w:r>
        <w:rPr>
          <w:rFonts w:hint="eastAsia"/>
        </w:rPr>
        <w:t>逐步</w:t>
      </w:r>
      <w:r>
        <w:t>淘汰落后</w:t>
      </w:r>
      <w:r>
        <w:rPr>
          <w:rFonts w:hint="eastAsia"/>
        </w:rPr>
        <w:t>小型</w:t>
      </w:r>
      <w:r>
        <w:t>燃煤机组，</w:t>
      </w:r>
      <w:r>
        <w:rPr>
          <w:rFonts w:hint="eastAsia"/>
        </w:rPr>
        <w:t>降低</w:t>
      </w:r>
      <w:r>
        <w:t>煤电在全社会用电量中的用电比重，</w:t>
      </w:r>
      <w:r>
        <w:rPr>
          <w:rFonts w:hint="eastAsia"/>
        </w:rPr>
        <w:t>构建</w:t>
      </w:r>
      <w:r>
        <w:t>清洁能源社会。</w:t>
      </w:r>
    </w:p>
    <w:p>
      <w:pPr>
        <w:pStyle w:val="128"/>
      </w:pPr>
      <w:r>
        <w:rPr>
          <w:rFonts w:hint="eastAsia"/>
        </w:rPr>
        <w:t>目前</w:t>
      </w:r>
      <w:r>
        <w:t>渭南市非水可再生能源发电量主要来自于</w:t>
      </w:r>
      <w:r>
        <w:rPr>
          <w:rFonts w:hint="eastAsia"/>
        </w:rPr>
        <w:t>光伏</w:t>
      </w:r>
      <w:r>
        <w:t>发电，</w:t>
      </w:r>
      <w:r>
        <w:rPr>
          <w:rFonts w:hint="eastAsia"/>
        </w:rPr>
        <w:t>2014年光伏</w:t>
      </w:r>
      <w:r>
        <w:t>发电量约为</w:t>
      </w:r>
      <w:r>
        <w:rPr>
          <w:rFonts w:hint="eastAsia"/>
        </w:rPr>
        <w:t>2.3亿</w:t>
      </w:r>
      <w:r>
        <w:t>kW·h，</w:t>
      </w:r>
      <w:r>
        <w:rPr>
          <w:rFonts w:hint="eastAsia"/>
        </w:rPr>
        <w:t>全社会</w:t>
      </w:r>
      <w:r>
        <w:t>用电量约</w:t>
      </w:r>
      <w:r>
        <w:rPr>
          <w:rFonts w:hint="eastAsia"/>
        </w:rPr>
        <w:t>122.3亿</w:t>
      </w:r>
      <w:r>
        <w:t>kW·h，</w:t>
      </w:r>
      <w:r>
        <w:rPr>
          <w:rFonts w:hint="eastAsia"/>
        </w:rPr>
        <w:t>非水可再生</w:t>
      </w:r>
      <w:r>
        <w:t>能源用电量约占全社会用电量的</w:t>
      </w:r>
      <w:r>
        <w:rPr>
          <w:rFonts w:hint="eastAsia"/>
        </w:rPr>
        <w:t>1.88</w:t>
      </w:r>
      <w:r>
        <w:t>%，远低于国家</w:t>
      </w:r>
      <w:r>
        <w:rPr>
          <w:rFonts w:hint="eastAsia"/>
        </w:rPr>
        <w:t>2020年</w:t>
      </w:r>
      <w:r>
        <w:t>的预期目标。</w:t>
      </w:r>
    </w:p>
    <w:p>
      <w:pPr>
        <w:pStyle w:val="128"/>
      </w:pPr>
      <w:r>
        <w:rPr>
          <w:rFonts w:hint="eastAsia"/>
        </w:rPr>
        <w:t>规划</w:t>
      </w:r>
      <w:r>
        <w:t>到</w:t>
      </w:r>
      <w:r>
        <w:rPr>
          <w:rFonts w:hint="eastAsia"/>
        </w:rPr>
        <w:t>2020年底</w:t>
      </w:r>
      <w:r>
        <w:t>，</w:t>
      </w:r>
      <w:r>
        <w:rPr>
          <w:rFonts w:hint="eastAsia"/>
        </w:rPr>
        <w:t>渭南市</w:t>
      </w:r>
      <w:r>
        <w:t>新能源电源装机规模达到</w:t>
      </w:r>
      <w:r>
        <w:rPr>
          <w:rFonts w:hint="eastAsia"/>
        </w:rPr>
        <w:t>3680MW，</w:t>
      </w:r>
      <w:r>
        <w:t>其中光伏发电</w:t>
      </w:r>
      <w:r>
        <w:rPr>
          <w:rFonts w:hint="eastAsia"/>
        </w:rPr>
        <w:t>2710MW，</w:t>
      </w:r>
      <w:r>
        <w:t>风力发电</w:t>
      </w:r>
      <w:r>
        <w:rPr>
          <w:rFonts w:hint="eastAsia"/>
        </w:rPr>
        <w:t>1059.4MW，</w:t>
      </w:r>
      <w:r>
        <w:t>生物质发电</w:t>
      </w:r>
      <w:r>
        <w:rPr>
          <w:rFonts w:hint="eastAsia"/>
        </w:rPr>
        <w:t>150MW，新能源年</w:t>
      </w:r>
      <w:r>
        <w:t>总发电量达到</w:t>
      </w:r>
      <w:r>
        <w:rPr>
          <w:rFonts w:hint="eastAsia"/>
        </w:rPr>
        <w:t>48.61亿</w:t>
      </w:r>
      <w:r>
        <w:t>kW·h</w:t>
      </w:r>
      <w:r>
        <w:rPr>
          <w:rFonts w:hint="eastAsia"/>
        </w:rPr>
        <w:t>。与</w:t>
      </w:r>
      <w:r>
        <w:t>相同发电量的火电相比，每年可节约</w:t>
      </w:r>
      <w:r>
        <w:rPr>
          <w:rFonts w:hint="eastAsia"/>
        </w:rPr>
        <w:t>标煤154.58×10</w:t>
      </w:r>
      <w:r>
        <w:rPr>
          <w:rFonts w:hint="eastAsia"/>
          <w:vertAlign w:val="superscript"/>
        </w:rPr>
        <w:t>4</w:t>
      </w:r>
      <w:r>
        <w:t>t，</w:t>
      </w:r>
      <w:r>
        <w:rPr>
          <w:rFonts w:hint="eastAsia"/>
        </w:rPr>
        <w:t>减少</w:t>
      </w:r>
      <w:r>
        <w:t>烟尘年排放量约201914.65t，减少二氧化碳年排放量约464.98</w:t>
      </w:r>
      <w:r>
        <w:rPr>
          <w:rFonts w:hint="eastAsia"/>
        </w:rPr>
        <w:t>×10</w:t>
      </w:r>
      <w:r>
        <w:rPr>
          <w:rFonts w:hint="eastAsia"/>
          <w:vertAlign w:val="superscript"/>
        </w:rPr>
        <w:t>4</w:t>
      </w:r>
      <w:r>
        <w:t>t，</w:t>
      </w:r>
      <w:r>
        <w:rPr>
          <w:rFonts w:hint="eastAsia"/>
        </w:rPr>
        <w:t>减少</w:t>
      </w:r>
      <w:r>
        <w:t>一氧化碳年排放量约</w:t>
      </w:r>
      <w:r>
        <w:rPr>
          <w:rFonts w:hint="eastAsia"/>
        </w:rPr>
        <w:t>406.54</w:t>
      </w:r>
      <w:r>
        <w:t>t，减少氮氧化物年排放量约17869.42t</w:t>
      </w:r>
      <w:r>
        <w:rPr>
          <w:rFonts w:hint="eastAsia"/>
        </w:rPr>
        <w:t>，具有</w:t>
      </w:r>
      <w:r>
        <w:t>显著的节能减排环境效益</w:t>
      </w:r>
      <w:r>
        <w:rPr>
          <w:rFonts w:hint="eastAsia"/>
        </w:rPr>
        <w:t>，</w:t>
      </w:r>
      <w:r>
        <w:t>有利于</w:t>
      </w:r>
      <w:r>
        <w:rPr>
          <w:rFonts w:hint="eastAsia"/>
        </w:rPr>
        <w:t>渭南市和</w:t>
      </w:r>
      <w:r>
        <w:t>整个关中地区城市环境生态</w:t>
      </w:r>
      <w:r>
        <w:rPr>
          <w:rFonts w:hint="eastAsia"/>
        </w:rPr>
        <w:t>群</w:t>
      </w:r>
      <w:r>
        <w:t>的改善。</w:t>
      </w:r>
    </w:p>
    <w:p>
      <w:pPr>
        <w:pStyle w:val="128"/>
      </w:pPr>
      <w:r>
        <w:rPr>
          <w:rFonts w:hint="eastAsia"/>
        </w:rPr>
        <w:t>根据《国网渭南供电公司“十三五”配电网规划报告》（2015年版）中方案预测结果，2020年渭南电网全社会用电量为185亿kW</w:t>
      </w:r>
      <w:r>
        <w:t>·</w:t>
      </w:r>
      <w:r>
        <w:rPr>
          <w:rFonts w:hint="eastAsia"/>
        </w:rPr>
        <w:t>h，</w:t>
      </w:r>
      <w:r>
        <w:t>届时渭南市新能源电源年总发电量达到</w:t>
      </w:r>
      <w:r>
        <w:rPr>
          <w:rFonts w:hint="eastAsia"/>
        </w:rPr>
        <w:t>48.61亿</w:t>
      </w:r>
      <w:r>
        <w:t>kW·h</w:t>
      </w:r>
      <w:r>
        <w:rPr>
          <w:rFonts w:hint="eastAsia"/>
        </w:rPr>
        <w:t>，约占</w:t>
      </w:r>
      <w:r>
        <w:t>全社会用电量的</w:t>
      </w:r>
      <w:r>
        <w:rPr>
          <w:rFonts w:hint="eastAsia"/>
        </w:rPr>
        <w:t>26.28</w:t>
      </w:r>
      <w:r>
        <w:t>%</w:t>
      </w:r>
      <w:r>
        <w:rPr>
          <w:rFonts w:hint="eastAsia"/>
        </w:rPr>
        <w:t>，能够</w:t>
      </w:r>
      <w:r>
        <w:t>为渭南市乃至整个陕西省</w:t>
      </w:r>
      <w:r>
        <w:rPr>
          <w:rFonts w:hint="eastAsia"/>
        </w:rPr>
        <w:t>非水可再生</w:t>
      </w:r>
      <w:r>
        <w:t>配额制指标的完成</w:t>
      </w:r>
      <w:r>
        <w:rPr>
          <w:rFonts w:hint="eastAsia"/>
        </w:rPr>
        <w:t>作出显著贡献</w:t>
      </w:r>
      <w:r>
        <w:t>。</w:t>
      </w:r>
    </w:p>
    <w:p>
      <w:pPr>
        <w:pStyle w:val="132"/>
        <w:numPr>
          <w:ilvl w:val="0"/>
          <w:numId w:val="23"/>
        </w:numPr>
      </w:pPr>
      <w:r>
        <w:t>渭南市</w:t>
      </w:r>
      <w:r>
        <w:rPr>
          <w:rFonts w:hint="eastAsia"/>
        </w:rPr>
        <w:t>新能源装机</w:t>
      </w:r>
      <w:r>
        <w:t>规模</w:t>
      </w:r>
    </w:p>
    <w:tbl>
      <w:tblPr>
        <w:tblStyle w:val="46"/>
        <w:tblW w:w="835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7"/>
        <w:gridCol w:w="1701"/>
        <w:gridCol w:w="2057"/>
        <w:gridCol w:w="1701"/>
        <w:gridCol w:w="14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77" w:type="dxa"/>
            <w:vAlign w:val="center"/>
          </w:tcPr>
          <w:p>
            <w:pPr>
              <w:pStyle w:val="36"/>
            </w:pPr>
            <w:r>
              <w:rPr>
                <w:rFonts w:hint="eastAsia"/>
              </w:rPr>
              <w:t>电源点类型</w:t>
            </w:r>
          </w:p>
        </w:tc>
        <w:tc>
          <w:tcPr>
            <w:tcW w:w="1701" w:type="dxa"/>
            <w:vAlign w:val="center"/>
          </w:tcPr>
          <w:p>
            <w:pPr>
              <w:pStyle w:val="36"/>
            </w:pPr>
            <w:r>
              <w:rPr>
                <w:rFonts w:hint="eastAsia"/>
              </w:rPr>
              <w:t>2015年</w:t>
            </w:r>
            <w:r>
              <w:t>装机规模（</w:t>
            </w:r>
            <w:r>
              <w:rPr>
                <w:rFonts w:hint="eastAsia"/>
              </w:rPr>
              <w:t>MW</w:t>
            </w:r>
            <w:r>
              <w:t>）</w:t>
            </w:r>
          </w:p>
        </w:tc>
        <w:tc>
          <w:tcPr>
            <w:tcW w:w="2057" w:type="dxa"/>
            <w:vAlign w:val="center"/>
          </w:tcPr>
          <w:p>
            <w:pPr>
              <w:pStyle w:val="36"/>
            </w:pPr>
            <w:r>
              <w:rPr>
                <w:rFonts w:hint="eastAsia"/>
              </w:rPr>
              <w:t>“十三五”期间</w:t>
            </w:r>
            <w:r>
              <w:t>新增</w:t>
            </w:r>
            <w:r>
              <w:rPr>
                <w:rFonts w:hint="eastAsia"/>
              </w:rPr>
              <w:t>装机规模（MW）</w:t>
            </w:r>
          </w:p>
        </w:tc>
        <w:tc>
          <w:tcPr>
            <w:tcW w:w="1701" w:type="dxa"/>
            <w:vAlign w:val="center"/>
          </w:tcPr>
          <w:p>
            <w:pPr>
              <w:pStyle w:val="36"/>
            </w:pPr>
            <w:r>
              <w:rPr>
                <w:rFonts w:hint="eastAsia"/>
              </w:rPr>
              <w:t>2020年底</w:t>
            </w:r>
            <w:r>
              <w:t>总</w:t>
            </w:r>
            <w:r>
              <w:rPr>
                <w:rFonts w:hint="eastAsia"/>
              </w:rPr>
              <w:t>装机规模（MW）</w:t>
            </w:r>
          </w:p>
        </w:tc>
        <w:tc>
          <w:tcPr>
            <w:tcW w:w="1419" w:type="dxa"/>
            <w:vAlign w:val="center"/>
          </w:tcPr>
          <w:p>
            <w:pPr>
              <w:pStyle w:val="36"/>
            </w:pPr>
            <w:r>
              <w:rPr>
                <w:rFonts w:hint="eastAsia"/>
              </w:rPr>
              <w:t>年发电量</w:t>
            </w:r>
          </w:p>
          <w:p>
            <w:pPr>
              <w:pStyle w:val="36"/>
            </w:pPr>
            <w:r>
              <w:rPr>
                <w:rFonts w:hint="eastAsia"/>
              </w:rPr>
              <w:t>（亿</w:t>
            </w:r>
            <w:r>
              <w:t>kW·h</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77" w:type="dxa"/>
            <w:vAlign w:val="center"/>
          </w:tcPr>
          <w:p>
            <w:pPr>
              <w:pStyle w:val="36"/>
            </w:pPr>
            <w:r>
              <w:rPr>
                <w:rFonts w:hint="eastAsia"/>
              </w:rPr>
              <w:t>光伏</w:t>
            </w:r>
            <w:r>
              <w:t>发电</w:t>
            </w:r>
          </w:p>
        </w:tc>
        <w:tc>
          <w:tcPr>
            <w:tcW w:w="1701" w:type="dxa"/>
            <w:vAlign w:val="center"/>
          </w:tcPr>
          <w:p>
            <w:pPr>
              <w:pStyle w:val="36"/>
            </w:pPr>
            <w:r>
              <w:rPr>
                <w:rFonts w:hint="eastAsia"/>
              </w:rPr>
              <w:t>210</w:t>
            </w:r>
          </w:p>
        </w:tc>
        <w:tc>
          <w:tcPr>
            <w:tcW w:w="2057" w:type="dxa"/>
            <w:vAlign w:val="center"/>
          </w:tcPr>
          <w:p>
            <w:pPr>
              <w:pStyle w:val="36"/>
            </w:pPr>
            <w:r>
              <w:rPr>
                <w:rFonts w:hint="eastAsia"/>
              </w:rPr>
              <w:t>2500</w:t>
            </w:r>
          </w:p>
        </w:tc>
        <w:tc>
          <w:tcPr>
            <w:tcW w:w="1701" w:type="dxa"/>
            <w:vAlign w:val="center"/>
          </w:tcPr>
          <w:p>
            <w:pPr>
              <w:pStyle w:val="36"/>
            </w:pPr>
            <w:r>
              <w:rPr>
                <w:rFonts w:hint="eastAsia"/>
              </w:rPr>
              <w:t>2710</w:t>
            </w:r>
          </w:p>
        </w:tc>
        <w:tc>
          <w:tcPr>
            <w:tcW w:w="1419" w:type="dxa"/>
            <w:vAlign w:val="center"/>
          </w:tcPr>
          <w:p>
            <w:pPr>
              <w:pStyle w:val="36"/>
            </w:pPr>
            <w:r>
              <w:t>28.46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77" w:type="dxa"/>
            <w:vAlign w:val="center"/>
          </w:tcPr>
          <w:p>
            <w:pPr>
              <w:pStyle w:val="36"/>
            </w:pPr>
            <w:r>
              <w:rPr>
                <w:rFonts w:hint="eastAsia"/>
              </w:rPr>
              <w:t>风力发电</w:t>
            </w:r>
          </w:p>
        </w:tc>
        <w:tc>
          <w:tcPr>
            <w:tcW w:w="1701" w:type="dxa"/>
            <w:vAlign w:val="center"/>
          </w:tcPr>
          <w:p>
            <w:pPr>
              <w:pStyle w:val="36"/>
            </w:pPr>
            <w:r>
              <w:rPr>
                <w:rFonts w:hint="eastAsia"/>
              </w:rPr>
              <w:t>29.4</w:t>
            </w:r>
          </w:p>
        </w:tc>
        <w:tc>
          <w:tcPr>
            <w:tcW w:w="2057" w:type="dxa"/>
            <w:vAlign w:val="center"/>
          </w:tcPr>
          <w:p>
            <w:pPr>
              <w:pStyle w:val="36"/>
            </w:pPr>
            <w:r>
              <w:t>1030</w:t>
            </w:r>
          </w:p>
        </w:tc>
        <w:tc>
          <w:tcPr>
            <w:tcW w:w="1701" w:type="dxa"/>
            <w:vAlign w:val="center"/>
          </w:tcPr>
          <w:p>
            <w:pPr>
              <w:pStyle w:val="36"/>
            </w:pPr>
            <w:r>
              <w:rPr>
                <w:rFonts w:hint="eastAsia"/>
              </w:rPr>
              <w:t>1059.4</w:t>
            </w:r>
          </w:p>
        </w:tc>
        <w:tc>
          <w:tcPr>
            <w:tcW w:w="1419" w:type="dxa"/>
            <w:vAlign w:val="center"/>
          </w:tcPr>
          <w:p>
            <w:pPr>
              <w:pStyle w:val="36"/>
            </w:pPr>
            <w:r>
              <w:t>19.07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77" w:type="dxa"/>
            <w:vAlign w:val="center"/>
          </w:tcPr>
          <w:p>
            <w:pPr>
              <w:pStyle w:val="36"/>
            </w:pPr>
            <w:r>
              <w:rPr>
                <w:rFonts w:hint="eastAsia"/>
              </w:rPr>
              <w:t>生物质发电</w:t>
            </w:r>
          </w:p>
        </w:tc>
        <w:tc>
          <w:tcPr>
            <w:tcW w:w="1701" w:type="dxa"/>
            <w:vAlign w:val="center"/>
          </w:tcPr>
          <w:p>
            <w:pPr>
              <w:pStyle w:val="36"/>
            </w:pPr>
            <w:r>
              <w:rPr>
                <w:rFonts w:hint="eastAsia"/>
              </w:rPr>
              <w:t>0</w:t>
            </w:r>
          </w:p>
        </w:tc>
        <w:tc>
          <w:tcPr>
            <w:tcW w:w="2057" w:type="dxa"/>
            <w:vAlign w:val="center"/>
          </w:tcPr>
          <w:p>
            <w:pPr>
              <w:pStyle w:val="36"/>
            </w:pPr>
            <w:r>
              <w:t>150</w:t>
            </w:r>
          </w:p>
        </w:tc>
        <w:tc>
          <w:tcPr>
            <w:tcW w:w="1701" w:type="dxa"/>
            <w:vAlign w:val="center"/>
          </w:tcPr>
          <w:p>
            <w:pPr>
              <w:pStyle w:val="36"/>
            </w:pPr>
            <w:r>
              <w:rPr>
                <w:rFonts w:hint="eastAsia"/>
              </w:rPr>
              <w:t>150</w:t>
            </w:r>
          </w:p>
        </w:tc>
        <w:tc>
          <w:tcPr>
            <w:tcW w:w="1419" w:type="dxa"/>
            <w:vAlign w:val="center"/>
          </w:tcPr>
          <w:p>
            <w:pPr>
              <w:pStyle w:val="36"/>
            </w:pPr>
            <w:r>
              <w:rPr>
                <w:rFonts w:hint="eastAsia"/>
              </w:rPr>
              <w:t>1.</w:t>
            </w:r>
            <w: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77" w:type="dxa"/>
            <w:vAlign w:val="center"/>
          </w:tcPr>
          <w:p>
            <w:pPr>
              <w:pStyle w:val="36"/>
            </w:pPr>
            <w:r>
              <w:rPr>
                <w:rFonts w:hint="eastAsia"/>
              </w:rPr>
              <w:t>合计</w:t>
            </w:r>
          </w:p>
        </w:tc>
        <w:tc>
          <w:tcPr>
            <w:tcW w:w="1701" w:type="dxa"/>
            <w:vAlign w:val="center"/>
          </w:tcPr>
          <w:p>
            <w:pPr>
              <w:pStyle w:val="36"/>
            </w:pPr>
            <w:r>
              <w:rPr>
                <w:rFonts w:hint="eastAsia"/>
              </w:rPr>
              <w:t>239.4</w:t>
            </w:r>
          </w:p>
        </w:tc>
        <w:tc>
          <w:tcPr>
            <w:tcW w:w="2057" w:type="dxa"/>
            <w:vAlign w:val="center"/>
          </w:tcPr>
          <w:p>
            <w:pPr>
              <w:pStyle w:val="36"/>
            </w:pPr>
            <w:r>
              <w:t>3680</w:t>
            </w:r>
          </w:p>
        </w:tc>
        <w:tc>
          <w:tcPr>
            <w:tcW w:w="1701" w:type="dxa"/>
            <w:vAlign w:val="center"/>
          </w:tcPr>
          <w:p>
            <w:pPr>
              <w:pStyle w:val="36"/>
            </w:pPr>
            <w:r>
              <w:rPr>
                <w:rFonts w:hint="eastAsia"/>
              </w:rPr>
              <w:t>3</w:t>
            </w:r>
            <w:r>
              <w:t>919.4</w:t>
            </w:r>
          </w:p>
        </w:tc>
        <w:tc>
          <w:tcPr>
            <w:tcW w:w="1419" w:type="dxa"/>
            <w:vAlign w:val="center"/>
          </w:tcPr>
          <w:p>
            <w:pPr>
              <w:pStyle w:val="36"/>
            </w:pPr>
            <w:r>
              <w:t>48.61</w:t>
            </w:r>
          </w:p>
        </w:tc>
      </w:tr>
    </w:tbl>
    <w:p>
      <w:pPr>
        <w:pStyle w:val="128"/>
      </w:pPr>
    </w:p>
    <w:p>
      <w:pPr>
        <w:pStyle w:val="125"/>
      </w:pPr>
      <w:bookmarkStart w:id="205" w:name="_Toc14689"/>
      <w:r>
        <w:rPr>
          <w:rFonts w:hint="eastAsia"/>
        </w:rPr>
        <w:t>产业链</w:t>
      </w:r>
      <w:r>
        <w:t>经济价值效益分析</w:t>
      </w:r>
      <w:bookmarkEnd w:id="205"/>
    </w:p>
    <w:p>
      <w:pPr>
        <w:pStyle w:val="128"/>
      </w:pPr>
      <w:r>
        <w:rPr>
          <w:rFonts w:hint="eastAsia"/>
        </w:rPr>
        <w:t>到2020年</w:t>
      </w:r>
      <w:r>
        <w:t>，新能源新材料</w:t>
      </w:r>
      <w:r>
        <w:rPr>
          <w:rFonts w:hint="eastAsia"/>
        </w:rPr>
        <w:t>产业</w:t>
      </w:r>
      <w:r>
        <w:t>实现工业总产值7</w:t>
      </w:r>
      <w:r>
        <w:rPr>
          <w:rFonts w:hint="eastAsia"/>
        </w:rPr>
        <w:t>00亿元</w:t>
      </w:r>
      <w:r>
        <w:t>，其中新能源产业</w:t>
      </w:r>
      <w:r>
        <w:rPr>
          <w:rFonts w:hint="eastAsia"/>
        </w:rPr>
        <w:t>直接</w:t>
      </w:r>
      <w:r>
        <w:t>投资约</w:t>
      </w:r>
      <w:r>
        <w:rPr>
          <w:rFonts w:hint="eastAsia"/>
        </w:rPr>
        <w:t>300亿元</w:t>
      </w:r>
      <w:r>
        <w:t>，</w:t>
      </w:r>
      <w:r>
        <w:rPr>
          <w:rFonts w:hint="eastAsia"/>
        </w:rPr>
        <w:t>带动</w:t>
      </w:r>
      <w:r>
        <w:t>当地</w:t>
      </w:r>
      <w:r>
        <w:rPr>
          <w:rFonts w:hint="eastAsia"/>
        </w:rPr>
        <w:t>工业</w:t>
      </w:r>
      <w:r>
        <w:t>总产值约</w:t>
      </w:r>
      <w:r>
        <w:rPr>
          <w:rFonts w:hint="eastAsia"/>
        </w:rPr>
        <w:t>200亿元</w:t>
      </w:r>
      <w:r>
        <w:t>；</w:t>
      </w:r>
      <w:r>
        <w:rPr>
          <w:rFonts w:hint="eastAsia"/>
        </w:rPr>
        <w:t>新材料</w:t>
      </w:r>
      <w:r>
        <w:t>产业</w:t>
      </w:r>
      <w:r>
        <w:rPr>
          <w:rFonts w:hint="eastAsia"/>
        </w:rPr>
        <w:t>实现</w:t>
      </w:r>
      <w:r>
        <w:t>工业总产值</w:t>
      </w:r>
      <w:r>
        <w:rPr>
          <w:rFonts w:hint="eastAsia"/>
        </w:rPr>
        <w:t>200亿元</w:t>
      </w:r>
      <w:r>
        <w:t>；</w:t>
      </w:r>
      <w:r>
        <w:rPr>
          <w:rFonts w:hint="eastAsia"/>
        </w:rPr>
        <w:t>新能源汽车</w:t>
      </w:r>
      <w:r>
        <w:t>产业实现工业总产值</w:t>
      </w:r>
      <w:r>
        <w:rPr>
          <w:rFonts w:hint="eastAsia"/>
        </w:rPr>
        <w:t>300亿元</w:t>
      </w:r>
      <w:r>
        <w:t>。</w:t>
      </w:r>
    </w:p>
    <w:p>
      <w:pPr>
        <w:pStyle w:val="132"/>
        <w:numPr>
          <w:ilvl w:val="0"/>
          <w:numId w:val="23"/>
        </w:numPr>
      </w:pPr>
      <w:r>
        <w:t>渭南市</w:t>
      </w:r>
      <w:r>
        <w:rPr>
          <w:rFonts w:hint="eastAsia"/>
        </w:rPr>
        <w:t>“十三五”期间新增</w:t>
      </w:r>
      <w:r>
        <w:t>电源点投资匡算</w:t>
      </w:r>
    </w:p>
    <w:tbl>
      <w:tblPr>
        <w:tblStyle w:val="46"/>
        <w:tblW w:w="665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7"/>
        <w:gridCol w:w="2057"/>
        <w:gridCol w:w="1701"/>
        <w:gridCol w:w="14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77" w:type="dxa"/>
            <w:vAlign w:val="center"/>
          </w:tcPr>
          <w:p>
            <w:pPr>
              <w:pStyle w:val="36"/>
            </w:pPr>
            <w:r>
              <w:rPr>
                <w:rFonts w:hint="eastAsia"/>
              </w:rPr>
              <w:t>电源点类型</w:t>
            </w:r>
          </w:p>
        </w:tc>
        <w:tc>
          <w:tcPr>
            <w:tcW w:w="2057" w:type="dxa"/>
            <w:vAlign w:val="center"/>
          </w:tcPr>
          <w:p>
            <w:pPr>
              <w:pStyle w:val="36"/>
            </w:pPr>
            <w:r>
              <w:rPr>
                <w:rFonts w:hint="eastAsia"/>
              </w:rPr>
              <w:t>“十三五”期间</w:t>
            </w:r>
            <w:r>
              <w:t>新增</w:t>
            </w:r>
            <w:r>
              <w:rPr>
                <w:rFonts w:hint="eastAsia"/>
              </w:rPr>
              <w:t>装机规模（MW）</w:t>
            </w:r>
          </w:p>
        </w:tc>
        <w:tc>
          <w:tcPr>
            <w:tcW w:w="1701" w:type="dxa"/>
            <w:vAlign w:val="center"/>
          </w:tcPr>
          <w:p>
            <w:pPr>
              <w:pStyle w:val="36"/>
            </w:pPr>
            <w:r>
              <w:rPr>
                <w:rFonts w:hint="eastAsia"/>
              </w:rPr>
              <w:t>投资</w:t>
            </w:r>
            <w:r>
              <w:t>匡算（</w:t>
            </w:r>
            <w:r>
              <w:rPr>
                <w:rFonts w:hint="eastAsia"/>
              </w:rPr>
              <w:t>亿元</w:t>
            </w:r>
            <w:r>
              <w:t>）</w:t>
            </w:r>
          </w:p>
        </w:tc>
        <w:tc>
          <w:tcPr>
            <w:tcW w:w="1419" w:type="dxa"/>
            <w:vAlign w:val="center"/>
          </w:tcPr>
          <w:p>
            <w:pPr>
              <w:pStyle w:val="36"/>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77" w:type="dxa"/>
            <w:vAlign w:val="center"/>
          </w:tcPr>
          <w:p>
            <w:pPr>
              <w:pStyle w:val="36"/>
            </w:pPr>
            <w:r>
              <w:rPr>
                <w:rFonts w:hint="eastAsia"/>
              </w:rPr>
              <w:t>光伏</w:t>
            </w:r>
            <w:r>
              <w:t>发电</w:t>
            </w:r>
          </w:p>
        </w:tc>
        <w:tc>
          <w:tcPr>
            <w:tcW w:w="2057" w:type="dxa"/>
            <w:vAlign w:val="center"/>
          </w:tcPr>
          <w:p>
            <w:pPr>
              <w:pStyle w:val="36"/>
            </w:pPr>
            <w:r>
              <w:rPr>
                <w:rFonts w:hint="eastAsia"/>
              </w:rPr>
              <w:t>2500</w:t>
            </w:r>
          </w:p>
        </w:tc>
        <w:tc>
          <w:tcPr>
            <w:tcW w:w="1701" w:type="dxa"/>
            <w:vAlign w:val="center"/>
          </w:tcPr>
          <w:p>
            <w:pPr>
              <w:pStyle w:val="36"/>
            </w:pPr>
            <w:r>
              <w:rPr>
                <w:rFonts w:hint="eastAsia"/>
              </w:rPr>
              <w:t>187.5</w:t>
            </w:r>
          </w:p>
        </w:tc>
        <w:tc>
          <w:tcPr>
            <w:tcW w:w="1419" w:type="dxa"/>
            <w:vAlign w:val="center"/>
          </w:tcPr>
          <w:p>
            <w:pPr>
              <w:pStyle w:val="3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77" w:type="dxa"/>
            <w:vAlign w:val="center"/>
          </w:tcPr>
          <w:p>
            <w:pPr>
              <w:pStyle w:val="36"/>
            </w:pPr>
            <w:r>
              <w:rPr>
                <w:rFonts w:hint="eastAsia"/>
              </w:rPr>
              <w:t>风力发电</w:t>
            </w:r>
          </w:p>
        </w:tc>
        <w:tc>
          <w:tcPr>
            <w:tcW w:w="2057" w:type="dxa"/>
            <w:vAlign w:val="center"/>
          </w:tcPr>
          <w:p>
            <w:pPr>
              <w:pStyle w:val="36"/>
            </w:pPr>
            <w:r>
              <w:t>1030</w:t>
            </w:r>
          </w:p>
        </w:tc>
        <w:tc>
          <w:tcPr>
            <w:tcW w:w="1701" w:type="dxa"/>
            <w:vAlign w:val="center"/>
          </w:tcPr>
          <w:p>
            <w:pPr>
              <w:pStyle w:val="36"/>
            </w:pPr>
            <w:r>
              <w:rPr>
                <w:rFonts w:hint="eastAsia"/>
              </w:rPr>
              <w:t>82.4</w:t>
            </w:r>
          </w:p>
        </w:tc>
        <w:tc>
          <w:tcPr>
            <w:tcW w:w="1419" w:type="dxa"/>
            <w:vAlign w:val="center"/>
          </w:tcPr>
          <w:p>
            <w:pPr>
              <w:pStyle w:val="3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77" w:type="dxa"/>
            <w:vAlign w:val="center"/>
          </w:tcPr>
          <w:p>
            <w:pPr>
              <w:pStyle w:val="36"/>
            </w:pPr>
            <w:r>
              <w:rPr>
                <w:rFonts w:hint="eastAsia"/>
              </w:rPr>
              <w:t>生物质发电</w:t>
            </w:r>
          </w:p>
        </w:tc>
        <w:tc>
          <w:tcPr>
            <w:tcW w:w="2057" w:type="dxa"/>
            <w:vAlign w:val="center"/>
          </w:tcPr>
          <w:p>
            <w:pPr>
              <w:pStyle w:val="36"/>
            </w:pPr>
            <w:r>
              <w:t>150</w:t>
            </w:r>
          </w:p>
        </w:tc>
        <w:tc>
          <w:tcPr>
            <w:tcW w:w="1701" w:type="dxa"/>
            <w:vAlign w:val="center"/>
          </w:tcPr>
          <w:p>
            <w:pPr>
              <w:pStyle w:val="36"/>
            </w:pPr>
            <w:r>
              <w:rPr>
                <w:rFonts w:hint="eastAsia"/>
              </w:rPr>
              <w:t>21</w:t>
            </w:r>
          </w:p>
        </w:tc>
        <w:tc>
          <w:tcPr>
            <w:tcW w:w="1419" w:type="dxa"/>
            <w:vAlign w:val="center"/>
          </w:tcPr>
          <w:p>
            <w:pPr>
              <w:pStyle w:val="3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77" w:type="dxa"/>
            <w:vAlign w:val="center"/>
          </w:tcPr>
          <w:p>
            <w:pPr>
              <w:pStyle w:val="36"/>
            </w:pPr>
            <w:r>
              <w:rPr>
                <w:rFonts w:hint="eastAsia"/>
              </w:rPr>
              <w:t>合计</w:t>
            </w:r>
          </w:p>
        </w:tc>
        <w:tc>
          <w:tcPr>
            <w:tcW w:w="2057" w:type="dxa"/>
            <w:vAlign w:val="center"/>
          </w:tcPr>
          <w:p>
            <w:pPr>
              <w:pStyle w:val="36"/>
            </w:pPr>
            <w:r>
              <w:t>3680</w:t>
            </w:r>
          </w:p>
        </w:tc>
        <w:tc>
          <w:tcPr>
            <w:tcW w:w="1701" w:type="dxa"/>
            <w:vAlign w:val="center"/>
          </w:tcPr>
          <w:p>
            <w:pPr>
              <w:pStyle w:val="36"/>
            </w:pPr>
            <w:r>
              <w:rPr>
                <w:rFonts w:hint="eastAsia"/>
              </w:rPr>
              <w:t>290.9</w:t>
            </w:r>
          </w:p>
        </w:tc>
        <w:tc>
          <w:tcPr>
            <w:tcW w:w="1419" w:type="dxa"/>
            <w:vAlign w:val="center"/>
          </w:tcPr>
          <w:p>
            <w:pPr>
              <w:pStyle w:val="36"/>
            </w:pPr>
          </w:p>
        </w:tc>
      </w:tr>
    </w:tbl>
    <w:p>
      <w:pPr>
        <w:pStyle w:val="128"/>
      </w:pPr>
    </w:p>
    <w:p>
      <w:pPr>
        <w:pStyle w:val="125"/>
      </w:pPr>
      <w:bookmarkStart w:id="206" w:name="_Toc4226"/>
      <w:r>
        <w:rPr>
          <w:rFonts w:hint="eastAsia"/>
        </w:rPr>
        <w:t>社会</w:t>
      </w:r>
      <w:r>
        <w:t>效益分析</w:t>
      </w:r>
      <w:bookmarkEnd w:id="206"/>
    </w:p>
    <w:p>
      <w:pPr>
        <w:pStyle w:val="128"/>
      </w:pPr>
      <w:r>
        <w:rPr>
          <w:rFonts w:hint="eastAsia"/>
        </w:rPr>
        <w:t>渭南市</w:t>
      </w:r>
      <w:r>
        <w:t>本着建设清洁</w:t>
      </w:r>
      <w:r>
        <w:rPr>
          <w:rFonts w:hint="eastAsia"/>
        </w:rPr>
        <w:t>能源</w:t>
      </w:r>
      <w:r>
        <w:t>社会的目标，大力发展光伏发电、风力发电、生物质发电等清洁能源，</w:t>
      </w:r>
      <w:r>
        <w:rPr>
          <w:rFonts w:hint="eastAsia"/>
        </w:rPr>
        <w:t>推进</w:t>
      </w:r>
      <w:r>
        <w:t>地热能供暖等能源替代，逐步实现煤电能源替代，</w:t>
      </w:r>
      <w:r>
        <w:rPr>
          <w:rFonts w:hint="eastAsia"/>
        </w:rPr>
        <w:t>有助于</w:t>
      </w:r>
      <w:r>
        <w:t>环境改善，创建</w:t>
      </w:r>
      <w:r>
        <w:rPr>
          <w:rFonts w:hint="eastAsia"/>
        </w:rPr>
        <w:t>更加</w:t>
      </w:r>
      <w:r>
        <w:t>舒适的人居环境，</w:t>
      </w:r>
      <w:r>
        <w:rPr>
          <w:rFonts w:hint="eastAsia"/>
        </w:rPr>
        <w:t>有助于</w:t>
      </w:r>
      <w:r>
        <w:t>小康社会的实现。</w:t>
      </w:r>
    </w:p>
    <w:p>
      <w:pPr>
        <w:pStyle w:val="128"/>
      </w:pPr>
      <w:r>
        <w:rPr>
          <w:rFonts w:hint="eastAsia"/>
        </w:rPr>
        <w:t>其次</w:t>
      </w:r>
      <w:r>
        <w:t>，新能源等战略产业的大力发展，有利于实现渭南市工业转型和工业升级目标，</w:t>
      </w:r>
      <w:r>
        <w:rPr>
          <w:rFonts w:hint="eastAsia"/>
        </w:rPr>
        <w:t>带动</w:t>
      </w:r>
      <w:r>
        <w:t>新的产业链形成，创造新的经济增长点，实现渭南市</w:t>
      </w:r>
      <w:r>
        <w:rPr>
          <w:rFonts w:hint="eastAsia"/>
        </w:rPr>
        <w:t>在</w:t>
      </w:r>
      <w:r>
        <w:t>新的历史机遇期</w:t>
      </w:r>
      <w:r>
        <w:rPr>
          <w:rFonts w:hint="eastAsia"/>
        </w:rPr>
        <w:t>“弯道上车</w:t>
      </w:r>
      <w:r>
        <w:t>和弯道超车</w:t>
      </w:r>
      <w:r>
        <w:rPr>
          <w:rFonts w:hint="eastAsia"/>
        </w:rPr>
        <w:t>”的</w:t>
      </w:r>
      <w:r>
        <w:t>重大</w:t>
      </w:r>
      <w:r>
        <w:rPr>
          <w:rFonts w:hint="eastAsia"/>
        </w:rPr>
        <w:t>目标</w:t>
      </w:r>
      <w:r>
        <w:t>。</w:t>
      </w:r>
    </w:p>
    <w:p>
      <w:pPr>
        <w:pStyle w:val="128"/>
      </w:pPr>
      <w:r>
        <w:rPr>
          <w:rFonts w:hint="eastAsia"/>
        </w:rPr>
        <w:t>渭南市</w:t>
      </w:r>
      <w:r>
        <w:t>黄土旱塬光伏领跑者基地</w:t>
      </w:r>
      <w:r>
        <w:rPr>
          <w:rFonts w:hint="eastAsia"/>
        </w:rPr>
        <w:t>建成后</w:t>
      </w:r>
      <w:r>
        <w:t>将成为国内最大的</w:t>
      </w:r>
      <w:r>
        <w:rPr>
          <w:rFonts w:hint="eastAsia"/>
        </w:rPr>
        <w:t>“农光</w:t>
      </w:r>
      <w:r>
        <w:t>互补</w:t>
      </w:r>
      <w:r>
        <w:rPr>
          <w:rFonts w:hint="eastAsia"/>
        </w:rPr>
        <w:t>”及</w:t>
      </w:r>
      <w:r>
        <w:t>黄土旱塬土地整治示范基地，</w:t>
      </w:r>
      <w:r>
        <w:rPr>
          <w:rFonts w:hint="eastAsia"/>
        </w:rPr>
        <w:t>科技</w:t>
      </w:r>
      <w:r>
        <w:t>创新基地，</w:t>
      </w:r>
      <w:r>
        <w:rPr>
          <w:rFonts w:hint="eastAsia"/>
        </w:rPr>
        <w:t>带动</w:t>
      </w:r>
      <w:r>
        <w:t>当地的农业、旅游业</w:t>
      </w:r>
      <w:r>
        <w:rPr>
          <w:rFonts w:hint="eastAsia"/>
        </w:rPr>
        <w:t>和</w:t>
      </w:r>
      <w:r>
        <w:t>服务业的发展，形成</w:t>
      </w:r>
      <w:r>
        <w:rPr>
          <w:rFonts w:hint="eastAsia"/>
        </w:rPr>
        <w:t>一</w:t>
      </w:r>
      <w:r>
        <w:t>、二、三产融合发展</w:t>
      </w:r>
      <w:r>
        <w:rPr>
          <w:rFonts w:hint="eastAsia"/>
        </w:rPr>
        <w:t>的</w:t>
      </w:r>
      <w:r>
        <w:t>良好带动作用。</w:t>
      </w:r>
      <w:r>
        <w:rPr>
          <w:rFonts w:hint="eastAsia"/>
        </w:rPr>
        <w:t>同时</w:t>
      </w:r>
      <w:r>
        <w:t>，</w:t>
      </w:r>
      <w:r>
        <w:rPr>
          <w:rFonts w:hint="eastAsia"/>
        </w:rPr>
        <w:t>“农光互补”的</w:t>
      </w:r>
      <w:r>
        <w:t>实现，为我国中东部土地资源稀缺的城市发展</w:t>
      </w:r>
      <w:r>
        <w:rPr>
          <w:rFonts w:hint="eastAsia"/>
        </w:rPr>
        <w:t>光伏</w:t>
      </w:r>
      <w:r>
        <w:t>发电提供了良好的示范和带动作用，</w:t>
      </w:r>
      <w:r>
        <w:rPr>
          <w:rFonts w:hint="eastAsia"/>
        </w:rPr>
        <w:t>有助于</w:t>
      </w:r>
      <w:r>
        <w:t>我国光伏发电</w:t>
      </w:r>
      <w:r>
        <w:rPr>
          <w:rFonts w:hint="eastAsia"/>
        </w:rPr>
        <w:t>产业</w:t>
      </w:r>
      <w:r>
        <w:t>的持续推动，完成我国对国际社会做出的庄严承诺。</w:t>
      </w:r>
    </w:p>
    <w:p>
      <w:pPr>
        <w:pStyle w:val="128"/>
      </w:pPr>
      <w:r>
        <w:rPr>
          <w:rFonts w:hint="eastAsia"/>
        </w:rPr>
        <w:t>清洁能源</w:t>
      </w:r>
      <w:r>
        <w:t>的大力发展、分布式的实施以及新能源汽车的生产和推广，有助于带动当地的</w:t>
      </w:r>
      <w:r>
        <w:rPr>
          <w:rFonts w:hint="eastAsia"/>
        </w:rPr>
        <w:t>旅游业</w:t>
      </w:r>
      <w:r>
        <w:t>的发展，将</w:t>
      </w:r>
      <w:r>
        <w:rPr>
          <w:rFonts w:hint="eastAsia"/>
        </w:rPr>
        <w:t>农业</w:t>
      </w:r>
      <w:r>
        <w:t>光伏</w:t>
      </w:r>
      <w:r>
        <w:rPr>
          <w:rFonts w:hint="eastAsia"/>
        </w:rPr>
        <w:t>、</w:t>
      </w:r>
      <w:r>
        <w:t>建筑一体化光伏、地热</w:t>
      </w:r>
      <w:r>
        <w:rPr>
          <w:rFonts w:hint="eastAsia"/>
        </w:rPr>
        <w:t>能</w:t>
      </w:r>
      <w:r>
        <w:t>供暖、新能源汽车展览</w:t>
      </w:r>
      <w:r>
        <w:rPr>
          <w:rFonts w:hint="eastAsia"/>
        </w:rPr>
        <w:t>等</w:t>
      </w:r>
      <w:r>
        <w:t>项目融入区域旅游线路中，增加科技旅游发展元素，</w:t>
      </w:r>
      <w:r>
        <w:rPr>
          <w:rFonts w:hint="eastAsia"/>
        </w:rPr>
        <w:t>有利于</w:t>
      </w:r>
      <w:r>
        <w:t>新能源产业的推广和发展，同时还能促进旅游业提质增收。</w:t>
      </w:r>
    </w:p>
    <w:p>
      <w:pPr>
        <w:pStyle w:val="128"/>
      </w:pPr>
    </w:p>
    <w:p>
      <w:pPr>
        <w:pStyle w:val="128"/>
      </w:pPr>
    </w:p>
    <w:p>
      <w:pPr>
        <w:pStyle w:val="128"/>
        <w:sectPr>
          <w:pgSz w:w="11906" w:h="16838"/>
          <w:pgMar w:top="1440" w:right="1588" w:bottom="1440" w:left="1588" w:header="851" w:footer="992" w:gutter="0"/>
          <w:pgNumType w:fmt="decimal"/>
          <w:cols w:space="720" w:num="1"/>
          <w:docGrid w:linePitch="312" w:charSpace="0"/>
        </w:sectPr>
      </w:pPr>
    </w:p>
    <w:p>
      <w:pPr>
        <w:pStyle w:val="123"/>
        <w:rPr>
          <w:color w:val="auto"/>
        </w:rPr>
      </w:pPr>
      <w:bookmarkStart w:id="207" w:name="_Toc22956"/>
      <w:r>
        <w:rPr>
          <w:rFonts w:hint="eastAsia"/>
          <w:color w:val="auto"/>
        </w:rPr>
        <w:t>保障措施</w:t>
      </w:r>
      <w:bookmarkEnd w:id="207"/>
    </w:p>
    <w:p>
      <w:pPr>
        <w:pStyle w:val="125"/>
        <w:numPr>
          <w:ilvl w:val="1"/>
          <w:numId w:val="24"/>
        </w:numPr>
      </w:pPr>
      <w:bookmarkStart w:id="208" w:name="_Toc29753"/>
      <w:r>
        <w:rPr>
          <w:rFonts w:hint="eastAsia"/>
        </w:rPr>
        <w:t>积极培育</w:t>
      </w:r>
      <w:r>
        <w:t>市场，营造良好市场环境</w:t>
      </w:r>
      <w:bookmarkEnd w:id="208"/>
    </w:p>
    <w:p>
      <w:pPr>
        <w:pStyle w:val="128"/>
      </w:pPr>
      <w:r>
        <w:rPr>
          <w:rFonts w:hint="eastAsia"/>
        </w:rPr>
        <w:t>充分发挥市场的基础性作用，充分调动企业积极性，加强基础设施建设，积极培育市场，规范市场秩序，为各类企业健康发展创造公平、良好的环境。</w:t>
      </w:r>
    </w:p>
    <w:p>
      <w:pPr>
        <w:pStyle w:val="128"/>
      </w:pPr>
      <w:r>
        <w:rPr>
          <w:rFonts w:hint="eastAsia"/>
        </w:rPr>
        <w:t>（1）组织实施重大应用示范工程</w:t>
      </w:r>
    </w:p>
    <w:p>
      <w:pPr>
        <w:pStyle w:val="128"/>
      </w:pPr>
      <w:r>
        <w:rPr>
          <w:rFonts w:hint="eastAsia"/>
        </w:rPr>
        <w:t>坚持以应用促发展，围绕提高人民群众健康水平、缓解环境资源制约等紧迫需求，选择处于产业化初期、社会效益显著、市场机制难以有效发挥作用的重大技术和产品，统筹衔接现有试验示范工程，组织实施全民健康、绿色发展、智能制造、材料换代、信息惠民等重大应用示范工程，引导消费模式转变，培育市场，拉动产业发展。</w:t>
      </w:r>
    </w:p>
    <w:p>
      <w:pPr>
        <w:pStyle w:val="128"/>
      </w:pPr>
      <w:r>
        <w:rPr>
          <w:rFonts w:hint="eastAsia"/>
        </w:rPr>
        <w:t>（2）支持市场拓展和商业模式创新</w:t>
      </w:r>
    </w:p>
    <w:p>
      <w:pPr>
        <w:pStyle w:val="128"/>
      </w:pPr>
      <w:r>
        <w:rPr>
          <w:rFonts w:hint="eastAsia"/>
        </w:rPr>
        <w:t>鼓励绿色消费、循环消费、信息消费，创新消费模式，促进消费结构升级。扩大终端用能产品能效标识实施范围。加强新能源并网及储能、支线航空与通用航空、新能源汽车等领域的市场配套基础设施建设。在物联网、节能环保服务、新能源应用、信息服务、新能源汽车推广等领域，支持企业大力发展有利于扩大市场需求的专业服务、增值服务等新业态。积极推行合同能源管理、现代废旧商品回收利用等新型商业模式。</w:t>
      </w:r>
    </w:p>
    <w:p>
      <w:pPr>
        <w:pStyle w:val="128"/>
      </w:pPr>
      <w:r>
        <w:rPr>
          <w:rFonts w:hint="eastAsia"/>
        </w:rPr>
        <w:t>（3）完善标准体系和市场准入制度</w:t>
      </w:r>
    </w:p>
    <w:p>
      <w:pPr>
        <w:pStyle w:val="128"/>
      </w:pPr>
      <w:r>
        <w:rPr>
          <w:rFonts w:hint="eastAsia"/>
        </w:rPr>
        <w:t>加快建立有利于战略性新兴产业发展的行业标准和重要产品技术标准体系，优化市场准入的审批管理程序。完善新能源汽车的项目和产品准入标准。完善并严格执行节能环保法规标准。</w:t>
      </w:r>
    </w:p>
    <w:p>
      <w:pPr>
        <w:pStyle w:val="125"/>
      </w:pPr>
      <w:bookmarkStart w:id="209" w:name="_Toc23908"/>
      <w:r>
        <w:t>争取政策支持</w:t>
      </w:r>
      <w:r>
        <w:rPr>
          <w:rFonts w:hint="eastAsia"/>
        </w:rPr>
        <w:t>，加大财税支持</w:t>
      </w:r>
      <w:bookmarkEnd w:id="209"/>
    </w:p>
    <w:p>
      <w:pPr>
        <w:pStyle w:val="128"/>
      </w:pPr>
      <w:r>
        <w:rPr>
          <w:rFonts w:hint="eastAsia"/>
        </w:rPr>
        <w:t>充分利用</w:t>
      </w:r>
      <w:r>
        <w:t>国家级省内对</w:t>
      </w:r>
      <w:r>
        <w:rPr>
          <w:rFonts w:hint="eastAsia"/>
        </w:rPr>
        <w:t>渭南市</w:t>
      </w:r>
      <w:r>
        <w:t>以及新型产业发展的各项支持政策，积极争取国家和省内的财政支持，将财政转移支付资金更多地投入到渭南市、产业园区的基础设施建设、公共服务和新型产业发展之中。从</w:t>
      </w:r>
      <w:r>
        <w:rPr>
          <w:rFonts w:hint="eastAsia"/>
        </w:rPr>
        <w:t>土地</w:t>
      </w:r>
      <w:r>
        <w:t>出让收益以及税收中提出一定比例资金，设立</w:t>
      </w:r>
      <w:r>
        <w:rPr>
          <w:rFonts w:hint="eastAsia"/>
        </w:rPr>
        <w:t>渭南市</w:t>
      </w:r>
      <w:r>
        <w:t>创新创业基金和新型产业发展基金，为初创企业和起步产业项目提供资金支持。对国家</w:t>
      </w:r>
      <w:r>
        <w:rPr>
          <w:rFonts w:hint="eastAsia"/>
        </w:rPr>
        <w:t>鼓励类产业</w:t>
      </w:r>
      <w:r>
        <w:t>项目、公共基础设施项目、优势产业项目、创新创业产业项目、小微企业以及国家支持类产品，按照相关政策规定严格执行税收减免及退税等优惠措施。</w:t>
      </w:r>
    </w:p>
    <w:p>
      <w:pPr>
        <w:pStyle w:val="125"/>
      </w:pPr>
      <w:bookmarkStart w:id="210" w:name="_Toc26269"/>
      <w:r>
        <w:rPr>
          <w:rFonts w:hint="eastAsia"/>
        </w:rPr>
        <w:t>建立健全投融资保障机制，</w:t>
      </w:r>
      <w:r>
        <w:t>创新投融资模式</w:t>
      </w:r>
      <w:bookmarkEnd w:id="210"/>
    </w:p>
    <w:p>
      <w:pPr>
        <w:pStyle w:val="128"/>
      </w:pPr>
      <w:r>
        <w:rPr>
          <w:rFonts w:hint="eastAsia"/>
        </w:rPr>
        <w:t>加快引入</w:t>
      </w:r>
      <w:r>
        <w:t>银行、证券、信托投资、担保公司、保险公司、私募基金等金融机构，构建完整的金融服务体系。划拨</w:t>
      </w:r>
      <w:r>
        <w:rPr>
          <w:rFonts w:hint="eastAsia"/>
        </w:rPr>
        <w:t>部分</w:t>
      </w:r>
      <w:r>
        <w:t>财政资金设立企业贷款风险准备金，建立健全政府为企业担保融资和贷款贴息的机制。积极</w:t>
      </w:r>
      <w:r>
        <w:rPr>
          <w:rFonts w:hint="eastAsia"/>
        </w:rPr>
        <w:t>发展</w:t>
      </w:r>
      <w:r>
        <w:t>融资租赁、股权融资、企业债券、中小企业</w:t>
      </w:r>
      <w:r>
        <w:rPr>
          <w:rFonts w:hint="eastAsia"/>
        </w:rPr>
        <w:t>集合</w:t>
      </w:r>
      <w:r>
        <w:t>债券，推动开展知识产权及专利权质押融资、股权质押融资等融资方式。支持</w:t>
      </w:r>
      <w:r>
        <w:rPr>
          <w:rFonts w:hint="eastAsia"/>
        </w:rPr>
        <w:t>民营</w:t>
      </w:r>
      <w:r>
        <w:t>银行、众筹、互联网金融等新型金融业态的发展，构建普惠金融体系。加大</w:t>
      </w:r>
      <w:r>
        <w:rPr>
          <w:rFonts w:hint="eastAsia"/>
        </w:rPr>
        <w:t>对</w:t>
      </w:r>
      <w:r>
        <w:t>高新技术企业、小微企业、环保型企业融资的支持力度，建立对金融机构开展此类融资服务的激励机制。</w:t>
      </w:r>
    </w:p>
    <w:p>
      <w:pPr>
        <w:pStyle w:val="128"/>
      </w:pPr>
      <w:r>
        <w:rPr>
          <w:rFonts w:hint="eastAsia"/>
        </w:rPr>
        <w:t>加强政策资金扶持，积极争取中省重点项目及技术改造、节能和循环经济、中小科技型企业发展项目和专项资金。设立产业投资基金，创新投融资体制，拓宽融资渠道，为企业发展和工业项目建设提供资金支持。发挥产业基金引导和杠杆放大作用，设立天使基金、中小企业发展基金等子基金，孵化一批新兴产业，支持有条件的企业上市。在发改委设立航空产业办公室和PPP工业项目。</w:t>
      </w:r>
    </w:p>
    <w:bookmarkEnd w:id="202"/>
    <w:bookmarkEnd w:id="203"/>
    <w:p>
      <w:pPr>
        <w:pStyle w:val="125"/>
      </w:pPr>
      <w:bookmarkStart w:id="211" w:name="_Toc28467"/>
      <w:r>
        <w:rPr>
          <w:rFonts w:hint="eastAsia"/>
        </w:rPr>
        <w:t>优化产业布局助推转型升级</w:t>
      </w:r>
      <w:bookmarkEnd w:id="211"/>
    </w:p>
    <w:p>
      <w:pPr>
        <w:pStyle w:val="128"/>
      </w:pPr>
      <w:r>
        <w:rPr>
          <w:rFonts w:hint="eastAsia"/>
        </w:rPr>
        <w:t>按照“十三五”产业发展总体要求，围绕工业转型发展目标任务，统筹产业布局，科学摆布工业项目，推动产业差异化、特色化、品牌化集群发展。结合“十三五”产业发展战略，市发改委制定出台重大项目策划包装意见，将项目策划包装纳入季度讲评考核，调动县市、部门策划包装项目的积极性。紧扣国家产业政策导向，围绕科技创新、智能制造、军民融合、技术改造、新能源新材料、食品医药、轨道交通、航空等领域策划包装一批重大工业项目，通过实施项目推动工业转型升级。狠抓产业项目招商引资，借助行业协会、科技院所平台优势和外部资源，开展“四位一体”招商模式，紧盯央企、省企和东部产业转移，组团参与央企进陕、民企进渭等对接活动，多渠道招引产业项目，打造产业集群，做大工业规模，提升工业在国民经济中的占比和份额。</w:t>
      </w:r>
    </w:p>
    <w:p>
      <w:pPr>
        <w:pStyle w:val="125"/>
      </w:pPr>
      <w:bookmarkStart w:id="212" w:name="_Toc20826"/>
      <w:bookmarkStart w:id="213" w:name="_Toc465863774"/>
      <w:r>
        <w:rPr>
          <w:rFonts w:hint="eastAsia"/>
        </w:rPr>
        <w:t>多措</w:t>
      </w:r>
      <w:r>
        <w:t>并举建设</w:t>
      </w:r>
      <w:r>
        <w:rPr>
          <w:rFonts w:hint="eastAsia"/>
        </w:rPr>
        <w:t>绿色能源</w:t>
      </w:r>
      <w:r>
        <w:t>示范城市</w:t>
      </w:r>
      <w:r>
        <w:rPr>
          <w:rFonts w:hint="eastAsia"/>
        </w:rPr>
        <w:t>，推动</w:t>
      </w:r>
      <w:r>
        <w:t>新能源产业发展</w:t>
      </w:r>
      <w:bookmarkEnd w:id="212"/>
      <w:bookmarkEnd w:id="213"/>
    </w:p>
    <w:p>
      <w:pPr>
        <w:pStyle w:val="128"/>
      </w:pPr>
      <w:r>
        <w:rPr>
          <w:rFonts w:hint="eastAsia"/>
        </w:rPr>
        <w:t>（1）推进新能源电源点项目建设，提高可清洁能源供电比例</w:t>
      </w:r>
    </w:p>
    <w:p>
      <w:pPr>
        <w:pStyle w:val="128"/>
      </w:pPr>
      <w:r>
        <w:rPr>
          <w:rFonts w:hint="eastAsia"/>
        </w:rPr>
        <w:t>在当下能源革命和治污减霾构建节约环保型社会的大背景下，应积极响应和利用好国家政策，大力推进新能源发电项目建设，提高可再生能源发电量和用电量比例，逐步淘汰落后小型燃煤机组，降低煤电在全社会用电量中的用电比重，构建清洁能源社会。积极响应国家电改政策，探索新能源发电直供电，发展绿色能源交易，促进清洁能源的消纳，促进下游市场规模扩大。</w:t>
      </w:r>
    </w:p>
    <w:p>
      <w:pPr>
        <w:pStyle w:val="128"/>
      </w:pPr>
      <w:r>
        <w:rPr>
          <w:rFonts w:hint="eastAsia"/>
        </w:rPr>
        <w:t>（2）完善新能源汽车配套设施，大力发展绿色交通</w:t>
      </w:r>
    </w:p>
    <w:p>
      <w:pPr>
        <w:pStyle w:val="128"/>
      </w:pPr>
      <w:r>
        <w:rPr>
          <w:rFonts w:hint="eastAsia"/>
        </w:rPr>
        <w:t>加大新能源汽车推广应用力度，大力推广应用新能源汽车，以公共服务领域为重点，推广应用新能源汽车辆，培育发展新能源汽车产业。</w:t>
      </w:r>
    </w:p>
    <w:p>
      <w:pPr>
        <w:pStyle w:val="128"/>
      </w:pPr>
      <w:r>
        <w:rPr>
          <w:rFonts w:hint="eastAsia"/>
        </w:rPr>
        <w:t>完善充电基础设施布局规划，加大充电设施建设力度。按照“桩站先行、适度超前、合理布局”的原则，申请国家可再生能源专项资金，建设直流充电站、充电桩。在火车站站、公共汽车站、公交车场、高速出入口等大型交通枢纽建设公共快速充电站；在新建大型公共设施、城市综合体、住宅小区配建充电车位和慢速充电桩；在城市主要干道配套建设分布式充电桩；依托公交场站建立公交车专用的充换电系统。</w:t>
      </w:r>
    </w:p>
    <w:p>
      <w:pPr>
        <w:pStyle w:val="125"/>
      </w:pPr>
      <w:bookmarkStart w:id="214" w:name="_Toc15644"/>
      <w:r>
        <w:rPr>
          <w:rFonts w:hint="eastAsia"/>
        </w:rPr>
        <w:t>加强科技创新和人才建设支撑转型升级</w:t>
      </w:r>
      <w:bookmarkEnd w:id="214"/>
    </w:p>
    <w:p>
      <w:pPr>
        <w:pStyle w:val="128"/>
      </w:pPr>
      <w:r>
        <w:rPr>
          <w:rFonts w:hint="eastAsia"/>
        </w:rPr>
        <w:t>优化人才引进的体制机制，加大对人才引进的支持和投入。由政府牵头，每年联合企业到大中城市或高校开展统一的人才招聘活动。设立人才引进奖励基金，对引进高水平人才的企业及人才个人予以奖励，支持企业对引进人才实行股权激励。加强政府与企业协作，为引进人才统筹解决住房、社会保险、子女入学等方面的需求。支持企业设立人才工作站、大学生实训基地等，为高层次人才提供良好的科研工作环境，推动企业与高校构建联合培养人才机制。创新用人机制，引导大中城市的专业技术人才到渭南市提供服务和支持。</w:t>
      </w:r>
    </w:p>
    <w:p>
      <w:pPr>
        <w:pStyle w:val="128"/>
      </w:pPr>
      <w:r>
        <w:rPr>
          <w:rFonts w:hint="eastAsia"/>
        </w:rPr>
        <w:t>围绕战略性新兴产业和优势特色产业，整合省内外高校、科研机构、大型企业研发中心等优势资源，建设一批专业化的公共技术创新和协同创新平台，提高企业创新能力。支持企业建立技术中心和开展前沿先导技术、关键共性技术等研发活动，转化一批科技成果。实施三个“百人计划”“青年科技军团”等人才工程，市人才办深化与国家部委、省级厅局和福州互派干部交流的常态化机制，建立一批创新人才培训示范基地。市工信局牵头实施“百名企业人才计划”和“千名企业经营者素质提升工程”，不断激发中小企业创业创新活力。</w:t>
      </w:r>
    </w:p>
    <w:p>
      <w:pPr>
        <w:pStyle w:val="125"/>
      </w:pPr>
      <w:bookmarkStart w:id="215" w:name="_Toc29029"/>
      <w:r>
        <w:rPr>
          <w:rFonts w:hint="eastAsia"/>
        </w:rPr>
        <w:t>规范土地</w:t>
      </w:r>
      <w:r>
        <w:t>供应</w:t>
      </w:r>
      <w:bookmarkEnd w:id="215"/>
    </w:p>
    <w:p>
      <w:pPr>
        <w:pStyle w:val="128"/>
      </w:pPr>
      <w:r>
        <w:rPr>
          <w:rFonts w:hint="eastAsia"/>
        </w:rPr>
        <w:t>继续</w:t>
      </w:r>
      <w:r>
        <w:t>强化节约、</w:t>
      </w:r>
      <w:r>
        <w:rPr>
          <w:rFonts w:hint="eastAsia"/>
        </w:rPr>
        <w:t>集约</w:t>
      </w:r>
      <w:r>
        <w:t>利用土地资源的意识，</w:t>
      </w:r>
      <w:r>
        <w:rPr>
          <w:rFonts w:hint="eastAsia"/>
        </w:rPr>
        <w:t>树立</w:t>
      </w:r>
      <w:r>
        <w:t>开发边界意识，</w:t>
      </w:r>
      <w:r>
        <w:rPr>
          <w:rFonts w:hint="eastAsia"/>
        </w:rPr>
        <w:t>优先</w:t>
      </w:r>
      <w:r>
        <w:t>开发存量土地，约束土地的增量开发，为长远发展预留土地。严格</w:t>
      </w:r>
      <w:r>
        <w:rPr>
          <w:rFonts w:hint="eastAsia"/>
        </w:rPr>
        <w:t>规划</w:t>
      </w:r>
      <w:r>
        <w:t>的实施与监管，避免低密度开发，杜绝乱</w:t>
      </w:r>
      <w:r>
        <w:rPr>
          <w:rFonts w:hint="eastAsia"/>
        </w:rPr>
        <w:t>占</w:t>
      </w:r>
      <w:r>
        <w:t>土地、粗放用地的现象，将出让后为开发的土地依法实行恢复耕种、罚缴闲置费或无偿收回的处理措施。逐步</w:t>
      </w:r>
      <w:r>
        <w:rPr>
          <w:rFonts w:hint="eastAsia"/>
        </w:rPr>
        <w:t>收紧</w:t>
      </w:r>
      <w:r>
        <w:t>土地供应政策，根据渭南市发展情况设立进入门槛，进行选择性招商引资。建立</w:t>
      </w:r>
      <w:r>
        <w:rPr>
          <w:rFonts w:hint="eastAsia"/>
        </w:rPr>
        <w:t>园区</w:t>
      </w:r>
      <w:r>
        <w:t>内的企业、项目的调整、退出机制，逐步清退占地大、污染重、效益低的企业，更多引入环保、</w:t>
      </w:r>
      <w:r>
        <w:rPr>
          <w:rFonts w:hint="eastAsia"/>
        </w:rPr>
        <w:t>高效</w:t>
      </w:r>
      <w:r>
        <w:t>、集约型企业，提高土地利用效率。</w:t>
      </w:r>
    </w:p>
    <w:p>
      <w:pPr>
        <w:pStyle w:val="128"/>
      </w:pPr>
    </w:p>
    <w:sectPr>
      <w:pgSz w:w="11906" w:h="16838"/>
      <w:pgMar w:top="1440" w:right="1588" w:bottom="1440" w:left="1588" w:header="851" w:footer="992"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default"/>
    <w:sig w:usb0="E0002AFF" w:usb1="C0007843" w:usb2="00000009" w:usb3="00000000" w:csb0="400001FF" w:csb1="FFFF0000"/>
  </w:font>
  <w:font w:name="华文细黑">
    <w:altName w:val="微软雅黑"/>
    <w:panose1 w:val="02010600040101010101"/>
    <w:charset w:val="86"/>
    <w:family w:val="auto"/>
    <w:pitch w:val="default"/>
    <w:sig w:usb0="00000000" w:usb1="00000000" w:usb2="00000000" w:usb3="00000000" w:csb0="0004009F" w:csb1="DFD70000"/>
  </w:font>
  <w:font w:name="Arial">
    <w:panose1 w:val="020B0604020202020204"/>
    <w:charset w:val="00"/>
    <w:family w:val="swiss"/>
    <w:pitch w:val="default"/>
    <w:sig w:usb0="E0002AFF" w:usb1="C0007843" w:usb2="00000009" w:usb3="00000000" w:csb0="400001FF" w:csb1="FFFF0000"/>
  </w:font>
  <w:font w:name="隶书">
    <w:altName w:val="微软雅黑"/>
    <w:panose1 w:val="02010509060101010101"/>
    <w:charset w:val="86"/>
    <w:family w:val="modern"/>
    <w:pitch w:val="default"/>
    <w:sig w:usb0="00000000" w:usb1="00000000" w:usb2="00000000" w:usb3="00000000" w:csb0="00040000" w:csb1="00000000"/>
  </w:font>
  <w:font w:name="Wide Latin">
    <w:altName w:val="Segoe Print"/>
    <w:panose1 w:val="020A0A07050505020404"/>
    <w:charset w:val="00"/>
    <w:family w:val="swiss"/>
    <w:pitch w:val="default"/>
    <w:sig w:usb0="00000000" w:usb1="00000000" w:usb2="00000000" w:usb3="00000000" w:csb0="00000000" w:csb1="00000000"/>
  </w:font>
  <w:font w:name="微软雅黑">
    <w:panose1 w:val="020B0503020204020204"/>
    <w:charset w:val="86"/>
    <w:family w:val="swiss"/>
    <w:pitch w:val="default"/>
    <w:sig w:usb0="80000287" w:usb1="280F3C52" w:usb2="00000016" w:usb3="00000000" w:csb0="0004001F" w:csb1="00000000"/>
  </w:font>
  <w:font w:name="仿宋">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center"/>
    </w:pPr>
    <w:sdt>
      <w:sdtPr>
        <w:id w:val="20346269"/>
      </w:sdtP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center"/>
    </w:pPr>
    <w:sdt>
      <w:sdtPr>
        <w:id w:val="20346268"/>
      </w:sdtP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center"/>
    </w:pPr>
    <w:r>
      <w:rPr>
        <w:sz w:val="18"/>
      </w:rPr>
      <w:pict>
        <v:shape id="_x0000_s2053" o:spid="_x0000_s2053" o:spt="202" type="#_x0000_t202" style="position:absolute;left:0pt;margin-top:0pt;height:144pt;width:144pt;mso-position-horizontal:center;mso-position-horizontal-relative:margin;mso-wrap-style:none;z-index:251663360;mso-width-relative:page;mso-height-relative:page;" filled="f" stroked="f" coordsize="21600,21600">
          <v:path/>
          <v:fill on="f" focussize="0,0"/>
          <v:stroke on="f" weight="1.25pt"/>
          <v:imagedata o:title=""/>
          <o:lock v:ext="edit" aspectratio="f"/>
          <v:textbox inset="0mm,0mm,0mm,0mm" style="mso-fit-shape-to-text:t;">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1</w:t>
                </w:r>
                <w:r>
                  <w:rPr>
                    <w:rFonts w:hint="eastAsia"/>
                    <w:sz w:val="18"/>
                    <w:lang w:eastAsia="zh-CN"/>
                  </w:rPr>
                  <w:fldChar w:fldCharType="end"/>
                </w:r>
              </w:p>
            </w:txbxContent>
          </v:textbox>
        </v:shape>
      </w:pict>
    </w:r>
    <w:sdt>
      <w:sdtPr>
        <w:id w:val="20346269"/>
      </w:sdtPr>
      <w:sdtContent/>
    </w:sdt>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center"/>
    </w:pPr>
    <w:r>
      <w:rPr>
        <w:sz w:val="18"/>
      </w:rPr>
      <w:pict>
        <v:shape id="_x0000_s2054" o:spid="_x0000_s2054" o:spt="202" type="#_x0000_t202" style="position:absolute;left:0pt;margin-top:0pt;height:144pt;width:144pt;mso-position-horizontal:center;mso-position-horizontal-relative:margin;mso-wrap-style:none;z-index:251665408;mso-width-relative:page;mso-height-relative:page;" filled="f" stroked="f" coordsize="21600,21600">
          <v:path/>
          <v:fill on="f" focussize="0,0"/>
          <v:stroke on="f" weight="1.25pt"/>
          <v:imagedata o:title=""/>
          <o:lock v:ext="edit" aspectratio="f"/>
          <v:textbox inset="0mm,0mm,0mm,0mm" style="mso-fit-shape-to-text:t;">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2</w:t>
                </w:r>
                <w:r>
                  <w:rPr>
                    <w:rFonts w:hint="eastAsia"/>
                    <w:sz w:val="18"/>
                    <w:lang w:eastAsia="zh-CN"/>
                  </w:rPr>
                  <w:fldChar w:fldCharType="end"/>
                </w:r>
              </w:p>
            </w:txbxContent>
          </v:textbox>
        </v:shape>
      </w:pict>
    </w:r>
    <w:sdt>
      <w:sdtPr>
        <w:id w:val="20346268"/>
      </w:sdtPr>
      <w:sdtContent/>
    </w:sdt>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center"/>
    </w:pPr>
    <w:r>
      <w:rPr>
        <w:sz w:val="18"/>
      </w:rPr>
      <w:pict>
        <v:shape id="_x0000_s2051" o:spid="_x0000_s2051"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weight="1.25pt"/>
          <v:imagedata o:title=""/>
          <o:lock v:ext="edit" aspectratio="f"/>
          <v:textbox inset="0mm,0mm,0mm,0mm" style="mso-fit-shape-to-text:t;">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1</w:t>
                </w:r>
                <w:r>
                  <w:rPr>
                    <w:rFonts w:hint="eastAsia"/>
                    <w:sz w:val="18"/>
                    <w:lang w:eastAsia="zh-CN"/>
                  </w:rPr>
                  <w:fldChar w:fldCharType="end"/>
                </w:r>
              </w:p>
            </w:txbxContent>
          </v:textbox>
        </v:shape>
      </w:pict>
    </w:r>
    <w:sdt>
      <w:sdtPr>
        <w:id w:val="20346269"/>
      </w:sdtP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center"/>
    </w:pPr>
    <w:r>
      <w:rPr>
        <w:sz w:val="18"/>
      </w:rPr>
      <w:pict>
        <v:shape id="_x0000_s2052" o:spid="_x0000_s2052" o:spt="202" type="#_x0000_t202" style="position:absolute;left:0pt;margin-top:0pt;height:144pt;width:144pt;mso-position-horizontal:center;mso-position-horizontal-relative:margin;mso-wrap-style:none;z-index:251662336;mso-width-relative:page;mso-height-relative:page;" filled="f" stroked="f" coordsize="21600,21600">
          <v:path/>
          <v:fill on="f" focussize="0,0"/>
          <v:stroke on="f" weight="1.25pt"/>
          <v:imagedata o:title=""/>
          <o:lock v:ext="edit" aspectratio="f"/>
          <v:textbox inset="0mm,0mm,0mm,0mm" style="mso-fit-shape-to-text:t;">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2</w:t>
                </w:r>
                <w:r>
                  <w:rPr>
                    <w:rFonts w:hint="eastAsia"/>
                    <w:sz w:val="18"/>
                    <w:lang w:eastAsia="zh-CN"/>
                  </w:rPr>
                  <w:fldChar w:fldCharType="end"/>
                </w:r>
              </w:p>
            </w:txbxContent>
          </v:textbox>
        </v:shape>
      </w:pict>
    </w:r>
    <w:sdt>
      <w:sdtPr>
        <w:id w:val="20346268"/>
      </w:sdtPr>
      <w:sdtContent/>
    </w:sdt>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F45F1"/>
    <w:multiLevelType w:val="multilevel"/>
    <w:tmpl w:val="001F45F1"/>
    <w:lvl w:ilvl="0" w:tentative="0">
      <w:start w:val="1"/>
      <w:numFmt w:val="decimal"/>
      <w:lvlText w:val="表4.%1"/>
      <w:lvlJc w:val="left"/>
      <w:pPr>
        <w:ind w:left="420" w:hanging="420"/>
      </w:pPr>
      <w:rPr>
        <w:rFonts w:hint="eastAsia" w:ascii="黑体" w:eastAsia="黑体"/>
        <w:sz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00A14213"/>
    <w:multiLevelType w:val="multilevel"/>
    <w:tmpl w:val="00A14213"/>
    <w:lvl w:ilvl="0" w:tentative="0">
      <w:start w:val="1"/>
      <w:numFmt w:val="decimal"/>
      <w:lvlText w:val="图5.%1"/>
      <w:lvlJc w:val="left"/>
      <w:pPr>
        <w:ind w:left="420" w:hanging="420"/>
      </w:pPr>
      <w:rPr>
        <w:rFonts w:hint="eastAsia" w:ascii="黑体" w:eastAsia="黑体"/>
        <w:sz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8C511A3"/>
    <w:multiLevelType w:val="multilevel"/>
    <w:tmpl w:val="08C511A3"/>
    <w:lvl w:ilvl="0" w:tentative="0">
      <w:start w:val="1"/>
      <w:numFmt w:val="bullet"/>
      <w:lvlText w:val=""/>
      <w:lvlJc w:val="left"/>
      <w:pPr>
        <w:tabs>
          <w:tab w:val="left" w:pos="420"/>
        </w:tabs>
        <w:ind w:left="420" w:hanging="420"/>
      </w:pPr>
      <w:rPr>
        <w:rFonts w:hint="default" w:ascii="Wingdings" w:hAnsi="Wingdings"/>
      </w:rPr>
    </w:lvl>
    <w:lvl w:ilvl="1" w:tentative="0">
      <w:start w:val="1"/>
      <w:numFmt w:val="upperLetter"/>
      <w:pStyle w:val="8"/>
      <w:lvlText w:val="%2."/>
      <w:lvlJc w:val="left"/>
      <w:pPr>
        <w:tabs>
          <w:tab w:val="left" w:pos="840"/>
        </w:tabs>
        <w:ind w:left="840" w:hanging="420"/>
      </w:p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3">
    <w:nsid w:val="0EB14F23"/>
    <w:multiLevelType w:val="multilevel"/>
    <w:tmpl w:val="0EB14F23"/>
    <w:lvl w:ilvl="0" w:tentative="0">
      <w:start w:val="1"/>
      <w:numFmt w:val="decimal"/>
      <w:lvlText w:val="表9.%1"/>
      <w:lvlJc w:val="left"/>
      <w:pPr>
        <w:ind w:left="420" w:hanging="420"/>
      </w:pPr>
      <w:rPr>
        <w:rFonts w:hint="eastAsia" w:ascii="黑体" w:eastAsia="黑体"/>
        <w:sz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15BA36BF"/>
    <w:multiLevelType w:val="multilevel"/>
    <w:tmpl w:val="15BA36BF"/>
    <w:lvl w:ilvl="0" w:tentative="0">
      <w:start w:val="1"/>
      <w:numFmt w:val="decimal"/>
      <w:lvlText w:val="图10.%1"/>
      <w:lvlJc w:val="left"/>
      <w:pPr>
        <w:ind w:left="1680" w:hanging="420"/>
      </w:pPr>
      <w:rPr>
        <w:rFonts w:hint="eastAsia" w:ascii="黑体" w:hAnsi="黑体" w:eastAsia="黑体"/>
        <w:sz w:val="24"/>
      </w:rPr>
    </w:lvl>
    <w:lvl w:ilvl="1" w:tentative="0">
      <w:start w:val="1"/>
      <w:numFmt w:val="decimal"/>
      <w:pStyle w:val="137"/>
      <w:lvlText w:val="图6.%2"/>
      <w:lvlJc w:val="left"/>
      <w:pPr>
        <w:ind w:left="840" w:hanging="420"/>
      </w:pPr>
      <w:rPr>
        <w:rFonts w:hint="eastAsia"/>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1A2D59F5"/>
    <w:multiLevelType w:val="multilevel"/>
    <w:tmpl w:val="1A2D59F5"/>
    <w:lvl w:ilvl="0" w:tentative="0">
      <w:start w:val="1"/>
      <w:numFmt w:val="decimalEnclosedCircle"/>
      <w:lvlText w:val="%1"/>
      <w:lvlJc w:val="left"/>
      <w:pPr>
        <w:ind w:left="1080" w:hanging="360"/>
      </w:pPr>
      <w:rPr>
        <w:rFonts w:hint="default"/>
      </w:rPr>
    </w:lvl>
    <w:lvl w:ilvl="1" w:tentative="0">
      <w:start w:val="1"/>
      <w:numFmt w:val="lowerLetter"/>
      <w:lvlText w:val="%2)"/>
      <w:lvlJc w:val="left"/>
      <w:pPr>
        <w:ind w:left="1560" w:hanging="420"/>
      </w:pPr>
    </w:lvl>
    <w:lvl w:ilvl="2" w:tentative="0">
      <w:start w:val="1"/>
      <w:numFmt w:val="lowerRoman"/>
      <w:lvlText w:val="%3."/>
      <w:lvlJc w:val="right"/>
      <w:pPr>
        <w:ind w:left="1980" w:hanging="420"/>
      </w:pPr>
    </w:lvl>
    <w:lvl w:ilvl="3" w:tentative="0">
      <w:start w:val="1"/>
      <w:numFmt w:val="decimal"/>
      <w:lvlText w:val="%4."/>
      <w:lvlJc w:val="left"/>
      <w:pPr>
        <w:ind w:left="2400" w:hanging="420"/>
      </w:pPr>
    </w:lvl>
    <w:lvl w:ilvl="4" w:tentative="0">
      <w:start w:val="1"/>
      <w:numFmt w:val="lowerLetter"/>
      <w:lvlText w:val="%5)"/>
      <w:lvlJc w:val="left"/>
      <w:pPr>
        <w:ind w:left="2820" w:hanging="420"/>
      </w:pPr>
    </w:lvl>
    <w:lvl w:ilvl="5" w:tentative="0">
      <w:start w:val="1"/>
      <w:numFmt w:val="lowerRoman"/>
      <w:lvlText w:val="%6."/>
      <w:lvlJc w:val="right"/>
      <w:pPr>
        <w:ind w:left="3240" w:hanging="420"/>
      </w:pPr>
    </w:lvl>
    <w:lvl w:ilvl="6" w:tentative="0">
      <w:start w:val="1"/>
      <w:numFmt w:val="decimal"/>
      <w:lvlText w:val="%7."/>
      <w:lvlJc w:val="left"/>
      <w:pPr>
        <w:ind w:left="3660" w:hanging="420"/>
      </w:pPr>
    </w:lvl>
    <w:lvl w:ilvl="7" w:tentative="0">
      <w:start w:val="1"/>
      <w:numFmt w:val="lowerLetter"/>
      <w:lvlText w:val="%8)"/>
      <w:lvlJc w:val="left"/>
      <w:pPr>
        <w:ind w:left="4080" w:hanging="420"/>
      </w:pPr>
    </w:lvl>
    <w:lvl w:ilvl="8" w:tentative="0">
      <w:start w:val="1"/>
      <w:numFmt w:val="lowerRoman"/>
      <w:lvlText w:val="%9."/>
      <w:lvlJc w:val="right"/>
      <w:pPr>
        <w:ind w:left="4500" w:hanging="420"/>
      </w:pPr>
    </w:lvl>
  </w:abstractNum>
  <w:abstractNum w:abstractNumId="6">
    <w:nsid w:val="1DBC6A52"/>
    <w:multiLevelType w:val="multilevel"/>
    <w:tmpl w:val="1DBC6A52"/>
    <w:lvl w:ilvl="0" w:tentative="0">
      <w:start w:val="1"/>
      <w:numFmt w:val="decimal"/>
      <w:lvlText w:val="表1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21917048"/>
    <w:multiLevelType w:val="multilevel"/>
    <w:tmpl w:val="21917048"/>
    <w:lvl w:ilvl="0" w:tentative="0">
      <w:start w:val="1"/>
      <w:numFmt w:val="decimal"/>
      <w:pStyle w:val="135"/>
      <w:lvlText w:val="（%1）"/>
      <w:lvlJc w:val="left"/>
      <w:pPr>
        <w:ind w:left="900" w:hanging="420"/>
      </w:pPr>
      <w:rPr>
        <w:rFonts w:hint="default" w:asciiTheme="minorEastAsia" w:eastAsiaTheme="minorEastAsia"/>
        <w:sz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8">
    <w:nsid w:val="3361605B"/>
    <w:multiLevelType w:val="multilevel"/>
    <w:tmpl w:val="3361605B"/>
    <w:lvl w:ilvl="0" w:tentative="0">
      <w:start w:val="1"/>
      <w:numFmt w:val="decimal"/>
      <w:lvlText w:val="图10.%1"/>
      <w:lvlJc w:val="left"/>
      <w:pPr>
        <w:ind w:left="420" w:hanging="420"/>
      </w:pPr>
      <w:rPr>
        <w:rFonts w:hint="eastAsia" w:ascii="黑体" w:eastAsia="黑体"/>
        <w:sz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495F731B"/>
    <w:multiLevelType w:val="multilevel"/>
    <w:tmpl w:val="495F731B"/>
    <w:lvl w:ilvl="0" w:tentative="0">
      <w:start w:val="1"/>
      <w:numFmt w:val="decimal"/>
      <w:lvlText w:val="表3.%1"/>
      <w:lvlJc w:val="left"/>
      <w:pPr>
        <w:ind w:left="420" w:hanging="420"/>
      </w:pPr>
      <w:rPr>
        <w:rFonts w:hint="eastAsia" w:ascii="黑体" w:eastAsia="黑体"/>
        <w:sz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57F8164B"/>
    <w:multiLevelType w:val="singleLevel"/>
    <w:tmpl w:val="57F8164B"/>
    <w:lvl w:ilvl="0" w:tentative="0">
      <w:start w:val="1"/>
      <w:numFmt w:val="lowerLetter"/>
      <w:suff w:val="nothing"/>
      <w:lvlText w:val="%1）"/>
      <w:lvlJc w:val="left"/>
    </w:lvl>
  </w:abstractNum>
  <w:abstractNum w:abstractNumId="11">
    <w:nsid w:val="57F857B3"/>
    <w:multiLevelType w:val="singleLevel"/>
    <w:tmpl w:val="57F857B3"/>
    <w:lvl w:ilvl="0" w:tentative="0">
      <w:start w:val="2"/>
      <w:numFmt w:val="decimal"/>
      <w:suff w:val="nothing"/>
      <w:lvlText w:val="（%1）"/>
      <w:lvlJc w:val="left"/>
    </w:lvl>
  </w:abstractNum>
  <w:abstractNum w:abstractNumId="12">
    <w:nsid w:val="584802E5"/>
    <w:multiLevelType w:val="multilevel"/>
    <w:tmpl w:val="584802E5"/>
    <w:lvl w:ilvl="0" w:tentative="0">
      <w:start w:val="1"/>
      <w:numFmt w:val="decimal"/>
      <w:lvlText w:val="图7.%1"/>
      <w:lvlJc w:val="left"/>
      <w:pPr>
        <w:ind w:left="420" w:hanging="420"/>
      </w:pPr>
      <w:rPr>
        <w:rFonts w:hint="eastAsia"/>
        <w:sz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58E87678"/>
    <w:multiLevelType w:val="multilevel"/>
    <w:tmpl w:val="58E87678"/>
    <w:lvl w:ilvl="0" w:tentative="0">
      <w:start w:val="1"/>
      <w:numFmt w:val="decimal"/>
      <w:lvlText w:val="图3.%1"/>
      <w:lvlJc w:val="left"/>
      <w:pPr>
        <w:ind w:left="420" w:hanging="420"/>
      </w:pPr>
      <w:rPr>
        <w:rFonts w:hint="eastAsia" w:eastAsia="黑体"/>
        <w:sz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59C64A15"/>
    <w:multiLevelType w:val="multilevel"/>
    <w:tmpl w:val="59C64A15"/>
    <w:lvl w:ilvl="0" w:tentative="0">
      <w:start w:val="1"/>
      <w:numFmt w:val="bullet"/>
      <w:lvlText w:val=""/>
      <w:lvlJc w:val="left"/>
      <w:pPr>
        <w:tabs>
          <w:tab w:val="left" w:pos="360"/>
        </w:tabs>
        <w:ind w:left="0" w:firstLine="0"/>
      </w:pPr>
      <w:rPr>
        <w:rFonts w:hint="default" w:ascii="Wingdings" w:hAnsi="Wingdings"/>
      </w:rPr>
    </w:lvl>
    <w:lvl w:ilvl="1" w:tentative="0">
      <w:start w:val="1"/>
      <w:numFmt w:val="bullet"/>
      <w:lvlText w:val=""/>
      <w:lvlJc w:val="left"/>
      <w:pPr>
        <w:tabs>
          <w:tab w:val="left" w:pos="1440"/>
        </w:tabs>
        <w:ind w:left="1440" w:hanging="360"/>
      </w:pPr>
      <w:rPr>
        <w:rFonts w:hint="default" w:ascii="Symbol" w:hAnsi="Symbol"/>
      </w:rPr>
    </w:lvl>
    <w:lvl w:ilvl="2" w:tentative="0">
      <w:start w:val="1"/>
      <w:numFmt w:val="bullet"/>
      <w:lvlText w:val=""/>
      <w:lvlJc w:val="left"/>
      <w:pPr>
        <w:tabs>
          <w:tab w:val="left" w:pos="2160"/>
        </w:tabs>
        <w:ind w:left="2160" w:hanging="360"/>
      </w:pPr>
      <w:rPr>
        <w:rFonts w:hint="default" w:ascii="Symbol" w:hAnsi="Symbol"/>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
      <w:lvlJc w:val="left"/>
      <w:pPr>
        <w:tabs>
          <w:tab w:val="left" w:pos="3600"/>
        </w:tabs>
        <w:ind w:left="3600" w:hanging="360"/>
      </w:pPr>
      <w:rPr>
        <w:rFonts w:hint="default" w:ascii="Symbol" w:hAnsi="Symbol"/>
      </w:rPr>
    </w:lvl>
    <w:lvl w:ilvl="5" w:tentative="0">
      <w:start w:val="1"/>
      <w:numFmt w:val="bullet"/>
      <w:lvlText w:val=""/>
      <w:lvlJc w:val="left"/>
      <w:pPr>
        <w:tabs>
          <w:tab w:val="left" w:pos="4320"/>
        </w:tabs>
        <w:ind w:left="4320" w:hanging="360"/>
      </w:pPr>
      <w:rPr>
        <w:rFonts w:hint="default" w:ascii="Symbol" w:hAnsi="Symbol"/>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
      <w:lvlJc w:val="left"/>
      <w:pPr>
        <w:tabs>
          <w:tab w:val="left" w:pos="5760"/>
        </w:tabs>
        <w:ind w:left="5760" w:hanging="360"/>
      </w:pPr>
      <w:rPr>
        <w:rFonts w:hint="default" w:ascii="Symbol" w:hAnsi="Symbol"/>
      </w:rPr>
    </w:lvl>
    <w:lvl w:ilvl="8" w:tentative="0">
      <w:start w:val="1"/>
      <w:numFmt w:val="bullet"/>
      <w:lvlText w:val=""/>
      <w:lvlJc w:val="left"/>
      <w:pPr>
        <w:tabs>
          <w:tab w:val="left" w:pos="6480"/>
        </w:tabs>
        <w:ind w:left="6480" w:hanging="360"/>
      </w:pPr>
      <w:rPr>
        <w:rFonts w:hint="default" w:ascii="Symbol" w:hAnsi="Symbol"/>
      </w:rPr>
    </w:lvl>
  </w:abstractNum>
  <w:abstractNum w:abstractNumId="15">
    <w:nsid w:val="5B4B07A6"/>
    <w:multiLevelType w:val="multilevel"/>
    <w:tmpl w:val="5B4B07A6"/>
    <w:lvl w:ilvl="0" w:tentative="0">
      <w:start w:val="1"/>
      <w:numFmt w:val="decimal"/>
      <w:lvlText w:val="图4.%1"/>
      <w:lvlJc w:val="left"/>
      <w:pPr>
        <w:ind w:left="420" w:hanging="420"/>
      </w:pPr>
      <w:rPr>
        <w:rFonts w:hint="eastAsia"/>
        <w:sz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5D346B28"/>
    <w:multiLevelType w:val="multilevel"/>
    <w:tmpl w:val="5D346B28"/>
    <w:lvl w:ilvl="0" w:tentative="0">
      <w:start w:val="1"/>
      <w:numFmt w:val="decimal"/>
      <w:lvlText w:val="图2.%1"/>
      <w:lvlJc w:val="left"/>
      <w:pPr>
        <w:ind w:left="420" w:hanging="420"/>
      </w:pPr>
      <w:rPr>
        <w:rFonts w:hint="eastAsia"/>
        <w:sz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5FAC230D"/>
    <w:multiLevelType w:val="multilevel"/>
    <w:tmpl w:val="5FAC230D"/>
    <w:lvl w:ilvl="0" w:tentative="0">
      <w:start w:val="1"/>
      <w:numFmt w:val="decimal"/>
      <w:lvlText w:val="表6.%1"/>
      <w:lvlJc w:val="left"/>
      <w:pPr>
        <w:ind w:left="840" w:hanging="420"/>
      </w:pPr>
      <w:rPr>
        <w:rFonts w:hint="eastAsia" w:ascii="黑体" w:eastAsia="黑体"/>
        <w:sz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61664FA0"/>
    <w:multiLevelType w:val="multilevel"/>
    <w:tmpl w:val="61664FA0"/>
    <w:lvl w:ilvl="0" w:tentative="0">
      <w:start w:val="1"/>
      <w:numFmt w:val="upperLetter"/>
      <w:lvlText w:val="%1."/>
      <w:lvlJc w:val="left"/>
      <w:pPr>
        <w:tabs>
          <w:tab w:val="left" w:pos="420"/>
        </w:tabs>
        <w:ind w:left="420" w:hanging="420"/>
      </w:pPr>
    </w:lvl>
    <w:lvl w:ilvl="1" w:tentative="0">
      <w:start w:val="1"/>
      <w:numFmt w:val="upperLetter"/>
      <w:pStyle w:val="6"/>
      <w:lvlText w:val="%2."/>
      <w:lvlJc w:val="left"/>
      <w:pPr>
        <w:tabs>
          <w:tab w:val="left" w:pos="840"/>
        </w:tabs>
        <w:ind w:left="840" w:hanging="420"/>
      </w:pPr>
    </w:lvl>
    <w:lvl w:ilvl="2" w:tentative="0">
      <w:start w:val="1"/>
      <w:numFmt w:val="upperLetter"/>
      <w:pStyle w:val="7"/>
      <w:lvlText w:val="%3."/>
      <w:lvlJc w:val="lef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9">
    <w:nsid w:val="62291270"/>
    <w:multiLevelType w:val="multilevel"/>
    <w:tmpl w:val="62291270"/>
    <w:lvl w:ilvl="0" w:tentative="0">
      <w:start w:val="1"/>
      <w:numFmt w:val="decimal"/>
      <w:lvlText w:val="表10.%1"/>
      <w:lvlJc w:val="left"/>
      <w:pPr>
        <w:ind w:left="420" w:hanging="420"/>
      </w:pPr>
      <w:rPr>
        <w:rFonts w:hint="eastAsia" w:ascii="黑体" w:eastAsia="黑体"/>
        <w:sz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66DD7F29"/>
    <w:multiLevelType w:val="multilevel"/>
    <w:tmpl w:val="66DD7F29"/>
    <w:lvl w:ilvl="0" w:tentative="0">
      <w:start w:val="1"/>
      <w:numFmt w:val="decimal"/>
      <w:lvlText w:val="图8.%1"/>
      <w:lvlJc w:val="left"/>
      <w:pPr>
        <w:ind w:left="420" w:hanging="420"/>
      </w:pPr>
      <w:rPr>
        <w:rFonts w:hint="eastAsia"/>
        <w:sz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7CAD5853"/>
    <w:multiLevelType w:val="multilevel"/>
    <w:tmpl w:val="7CAD5853"/>
    <w:lvl w:ilvl="0" w:tentative="0">
      <w:start w:val="1"/>
      <w:numFmt w:val="decimal"/>
      <w:lvlText w:val="图9.%1"/>
      <w:lvlJc w:val="left"/>
      <w:pPr>
        <w:ind w:left="420" w:hanging="420"/>
      </w:pPr>
      <w:rPr>
        <w:rFonts w:hint="eastAsia" w:ascii="黑体" w:eastAsia="黑体"/>
        <w:sz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7CE65E30"/>
    <w:multiLevelType w:val="multilevel"/>
    <w:tmpl w:val="7CE65E30"/>
    <w:lvl w:ilvl="0" w:tentative="0">
      <w:start w:val="1"/>
      <w:numFmt w:val="decimal"/>
      <w:pStyle w:val="123"/>
      <w:suff w:val="space"/>
      <w:lvlText w:val="%1"/>
      <w:lvlJc w:val="left"/>
      <w:pPr>
        <w:ind w:left="0" w:firstLine="0"/>
      </w:pPr>
      <w:rPr>
        <w:rFonts w:hint="eastAsia"/>
      </w:rPr>
    </w:lvl>
    <w:lvl w:ilvl="1" w:tentative="0">
      <w:start w:val="1"/>
      <w:numFmt w:val="decimal"/>
      <w:pStyle w:val="125"/>
      <w:suff w:val="space"/>
      <w:lvlText w:val="%1.%2"/>
      <w:lvlJc w:val="left"/>
      <w:pPr>
        <w:ind w:left="0" w:firstLine="0"/>
      </w:pPr>
      <w:rPr>
        <w:rFonts w:hint="eastAsia"/>
      </w:rPr>
    </w:lvl>
    <w:lvl w:ilvl="2" w:tentative="0">
      <w:start w:val="1"/>
      <w:numFmt w:val="decimal"/>
      <w:pStyle w:val="126"/>
      <w:suff w:val="space"/>
      <w:lvlText w:val="%1.%2.%3"/>
      <w:lvlJc w:val="left"/>
      <w:pPr>
        <w:ind w:left="0" w:firstLine="0"/>
      </w:pPr>
      <w:rPr>
        <w:rFonts w:hint="eastAsia"/>
      </w:rPr>
    </w:lvl>
    <w:lvl w:ilvl="3" w:tentative="0">
      <w:start w:val="1"/>
      <w:numFmt w:val="decimal"/>
      <w:pStyle w:val="127"/>
      <w:suff w:val="space"/>
      <w:lvlText w:val="%1.%2.%3.%4"/>
      <w:lvlJc w:val="left"/>
      <w:pPr>
        <w:ind w:left="1418" w:firstLine="0"/>
      </w:pPr>
      <w:rPr>
        <w:rFonts w:hint="eastAsia"/>
      </w:rPr>
    </w:lvl>
    <w:lvl w:ilvl="4" w:tentative="0">
      <w:start w:val="1"/>
      <w:numFmt w:val="decimal"/>
      <w:lvlText w:val="%1.%2.%3.%4.%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num w:numId="1">
    <w:abstractNumId w:val="18"/>
  </w:num>
  <w:num w:numId="2">
    <w:abstractNumId w:val="2"/>
  </w:num>
  <w:num w:numId="3">
    <w:abstractNumId w:val="22"/>
  </w:num>
  <w:num w:numId="4">
    <w:abstractNumId w:val="7"/>
  </w:num>
  <w:num w:numId="5">
    <w:abstractNumId w:val="4"/>
  </w:num>
  <w:num w:numId="6">
    <w:abstractNumId w:val="16"/>
  </w:num>
  <w:num w:numId="7">
    <w:abstractNumId w:val="13"/>
  </w:num>
  <w:num w:numId="8">
    <w:abstractNumId w:val="9"/>
  </w:num>
  <w:num w:numId="9">
    <w:abstractNumId w:val="14"/>
  </w:num>
  <w:num w:numId="10">
    <w:abstractNumId w:val="0"/>
  </w:num>
  <w:num w:numId="11">
    <w:abstractNumId w:val="15"/>
  </w:num>
  <w:num w:numId="12">
    <w:abstractNumId w:val="1"/>
  </w:num>
  <w:num w:numId="13">
    <w:abstractNumId w:val="17"/>
  </w:num>
  <w:num w:numId="14">
    <w:abstractNumId w:val="5"/>
  </w:num>
  <w:num w:numId="15">
    <w:abstractNumId w:val="12"/>
  </w:num>
  <w:num w:numId="16">
    <w:abstractNumId w:val="20"/>
  </w:num>
  <w:num w:numId="17">
    <w:abstractNumId w:val="3"/>
  </w:num>
  <w:num w:numId="18">
    <w:abstractNumId w:val="21"/>
    <w:lvlOverride w:ilvl="0">
      <w:startOverride w:val="1"/>
    </w:lvlOverride>
  </w:num>
  <w:num w:numId="19">
    <w:abstractNumId w:val="10"/>
  </w:num>
  <w:num w:numId="20">
    <w:abstractNumId w:val="11"/>
  </w:num>
  <w:num w:numId="21">
    <w:abstractNumId w:val="19"/>
  </w:num>
  <w:num w:numId="22">
    <w:abstractNumId w:val="8"/>
  </w:num>
  <w:num w:numId="23">
    <w:abstractNumId w:val="6"/>
  </w:num>
  <w:num w:numId="2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hideSpellingErrors/>
  <w:documentProtection w:enforcement="0"/>
  <w:defaultTabStop w:val="420"/>
  <w:evenAndOddHeaders w:val="1"/>
  <w:drawingGridHorizontalSpacing w:val="120"/>
  <w:drawingGridVerticalSpacing w:val="163"/>
  <w:displayHorizontalDrawingGridEvery w:val="2"/>
  <w:displayVerticalDrawingGridEvery w:val="2"/>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2"/>
  </w:compat>
  <w:rsids>
    <w:rsidRoot w:val="006820F8"/>
    <w:rsid w:val="0000033A"/>
    <w:rsid w:val="00000479"/>
    <w:rsid w:val="0000084D"/>
    <w:rsid w:val="00000B0C"/>
    <w:rsid w:val="00000BD9"/>
    <w:rsid w:val="00000C22"/>
    <w:rsid w:val="00000C7B"/>
    <w:rsid w:val="00000D4E"/>
    <w:rsid w:val="00000E35"/>
    <w:rsid w:val="00001151"/>
    <w:rsid w:val="0000119F"/>
    <w:rsid w:val="000011D3"/>
    <w:rsid w:val="00001201"/>
    <w:rsid w:val="000015B7"/>
    <w:rsid w:val="000016C1"/>
    <w:rsid w:val="00001775"/>
    <w:rsid w:val="00001A9E"/>
    <w:rsid w:val="00001CD1"/>
    <w:rsid w:val="00001DAD"/>
    <w:rsid w:val="00001E90"/>
    <w:rsid w:val="00001EA5"/>
    <w:rsid w:val="00001F64"/>
    <w:rsid w:val="00002054"/>
    <w:rsid w:val="000027D7"/>
    <w:rsid w:val="00002E81"/>
    <w:rsid w:val="00002FA4"/>
    <w:rsid w:val="0000369D"/>
    <w:rsid w:val="00003B36"/>
    <w:rsid w:val="00003F3F"/>
    <w:rsid w:val="00004261"/>
    <w:rsid w:val="0000429A"/>
    <w:rsid w:val="000042AE"/>
    <w:rsid w:val="000046C3"/>
    <w:rsid w:val="000046CD"/>
    <w:rsid w:val="000047C7"/>
    <w:rsid w:val="00004823"/>
    <w:rsid w:val="0000485E"/>
    <w:rsid w:val="000049CE"/>
    <w:rsid w:val="00004B48"/>
    <w:rsid w:val="00004DC0"/>
    <w:rsid w:val="0000529F"/>
    <w:rsid w:val="000053C6"/>
    <w:rsid w:val="00005C05"/>
    <w:rsid w:val="00005EB2"/>
    <w:rsid w:val="00005EFC"/>
    <w:rsid w:val="00005F56"/>
    <w:rsid w:val="0000603A"/>
    <w:rsid w:val="0000606A"/>
    <w:rsid w:val="000061FA"/>
    <w:rsid w:val="00006414"/>
    <w:rsid w:val="0000669B"/>
    <w:rsid w:val="00006768"/>
    <w:rsid w:val="00006898"/>
    <w:rsid w:val="0000693D"/>
    <w:rsid w:val="00006B1E"/>
    <w:rsid w:val="00006C4F"/>
    <w:rsid w:val="000078AC"/>
    <w:rsid w:val="00007B08"/>
    <w:rsid w:val="00010591"/>
    <w:rsid w:val="00010FF9"/>
    <w:rsid w:val="0001101D"/>
    <w:rsid w:val="0001115B"/>
    <w:rsid w:val="00011277"/>
    <w:rsid w:val="00011644"/>
    <w:rsid w:val="00011A96"/>
    <w:rsid w:val="00011E8A"/>
    <w:rsid w:val="000120A4"/>
    <w:rsid w:val="00012415"/>
    <w:rsid w:val="00012483"/>
    <w:rsid w:val="000129E0"/>
    <w:rsid w:val="00012FB3"/>
    <w:rsid w:val="00013376"/>
    <w:rsid w:val="000136AA"/>
    <w:rsid w:val="00013876"/>
    <w:rsid w:val="00013BC2"/>
    <w:rsid w:val="00013EA4"/>
    <w:rsid w:val="0001404E"/>
    <w:rsid w:val="00014191"/>
    <w:rsid w:val="00014414"/>
    <w:rsid w:val="00014605"/>
    <w:rsid w:val="00014BA7"/>
    <w:rsid w:val="00014CD5"/>
    <w:rsid w:val="00014E9C"/>
    <w:rsid w:val="00015376"/>
    <w:rsid w:val="000154E9"/>
    <w:rsid w:val="00015651"/>
    <w:rsid w:val="000158B4"/>
    <w:rsid w:val="0001594F"/>
    <w:rsid w:val="00015A46"/>
    <w:rsid w:val="00015E73"/>
    <w:rsid w:val="00015F45"/>
    <w:rsid w:val="00015FDB"/>
    <w:rsid w:val="0001696A"/>
    <w:rsid w:val="0001696F"/>
    <w:rsid w:val="00016F0A"/>
    <w:rsid w:val="000171A4"/>
    <w:rsid w:val="000173CF"/>
    <w:rsid w:val="00017587"/>
    <w:rsid w:val="000175D1"/>
    <w:rsid w:val="00017644"/>
    <w:rsid w:val="00017899"/>
    <w:rsid w:val="00017A0E"/>
    <w:rsid w:val="00017D4E"/>
    <w:rsid w:val="00017DA1"/>
    <w:rsid w:val="00020044"/>
    <w:rsid w:val="00020099"/>
    <w:rsid w:val="0002049B"/>
    <w:rsid w:val="00020FCB"/>
    <w:rsid w:val="0002105C"/>
    <w:rsid w:val="00021751"/>
    <w:rsid w:val="0002182E"/>
    <w:rsid w:val="00021A44"/>
    <w:rsid w:val="00021B31"/>
    <w:rsid w:val="00021C33"/>
    <w:rsid w:val="00021C99"/>
    <w:rsid w:val="00021DAA"/>
    <w:rsid w:val="000221E5"/>
    <w:rsid w:val="00022222"/>
    <w:rsid w:val="0002227F"/>
    <w:rsid w:val="0002229B"/>
    <w:rsid w:val="00022412"/>
    <w:rsid w:val="000225CB"/>
    <w:rsid w:val="000225D5"/>
    <w:rsid w:val="00022770"/>
    <w:rsid w:val="00022AC7"/>
    <w:rsid w:val="00022D8B"/>
    <w:rsid w:val="00022E38"/>
    <w:rsid w:val="00022E61"/>
    <w:rsid w:val="00023252"/>
    <w:rsid w:val="000232B3"/>
    <w:rsid w:val="000235F8"/>
    <w:rsid w:val="00023997"/>
    <w:rsid w:val="00023D1F"/>
    <w:rsid w:val="00023D70"/>
    <w:rsid w:val="00023F7B"/>
    <w:rsid w:val="0002419E"/>
    <w:rsid w:val="0002419F"/>
    <w:rsid w:val="00024200"/>
    <w:rsid w:val="000242E3"/>
    <w:rsid w:val="00025038"/>
    <w:rsid w:val="000250E3"/>
    <w:rsid w:val="0002518D"/>
    <w:rsid w:val="000251AA"/>
    <w:rsid w:val="000252DA"/>
    <w:rsid w:val="0002541F"/>
    <w:rsid w:val="00025666"/>
    <w:rsid w:val="00025820"/>
    <w:rsid w:val="000258CF"/>
    <w:rsid w:val="0002626A"/>
    <w:rsid w:val="00026645"/>
    <w:rsid w:val="00026823"/>
    <w:rsid w:val="000268E6"/>
    <w:rsid w:val="000268F2"/>
    <w:rsid w:val="00026BAF"/>
    <w:rsid w:val="000272CD"/>
    <w:rsid w:val="000272DD"/>
    <w:rsid w:val="000273E4"/>
    <w:rsid w:val="0002754B"/>
    <w:rsid w:val="00027862"/>
    <w:rsid w:val="00027C6F"/>
    <w:rsid w:val="00027E7E"/>
    <w:rsid w:val="00030160"/>
    <w:rsid w:val="000303D3"/>
    <w:rsid w:val="000307D6"/>
    <w:rsid w:val="00030922"/>
    <w:rsid w:val="000315EE"/>
    <w:rsid w:val="000317B4"/>
    <w:rsid w:val="00031877"/>
    <w:rsid w:val="000318BC"/>
    <w:rsid w:val="000318E2"/>
    <w:rsid w:val="00031A3B"/>
    <w:rsid w:val="00031DDB"/>
    <w:rsid w:val="000327EC"/>
    <w:rsid w:val="00032901"/>
    <w:rsid w:val="00032B59"/>
    <w:rsid w:val="00032B84"/>
    <w:rsid w:val="00032FB8"/>
    <w:rsid w:val="000330F7"/>
    <w:rsid w:val="0003322E"/>
    <w:rsid w:val="00033308"/>
    <w:rsid w:val="000337EB"/>
    <w:rsid w:val="00033A0E"/>
    <w:rsid w:val="000340C7"/>
    <w:rsid w:val="0003447D"/>
    <w:rsid w:val="0003458C"/>
    <w:rsid w:val="00034840"/>
    <w:rsid w:val="000348AB"/>
    <w:rsid w:val="00034AB2"/>
    <w:rsid w:val="00034B3A"/>
    <w:rsid w:val="000351DA"/>
    <w:rsid w:val="000358F1"/>
    <w:rsid w:val="00035AB4"/>
    <w:rsid w:val="00035D00"/>
    <w:rsid w:val="00036303"/>
    <w:rsid w:val="000364B9"/>
    <w:rsid w:val="00036550"/>
    <w:rsid w:val="0003655A"/>
    <w:rsid w:val="000366F0"/>
    <w:rsid w:val="000369C1"/>
    <w:rsid w:val="00037321"/>
    <w:rsid w:val="00037338"/>
    <w:rsid w:val="000378B6"/>
    <w:rsid w:val="00037B3E"/>
    <w:rsid w:val="00037B5C"/>
    <w:rsid w:val="00040543"/>
    <w:rsid w:val="0004071F"/>
    <w:rsid w:val="000407A5"/>
    <w:rsid w:val="000407C8"/>
    <w:rsid w:val="00040871"/>
    <w:rsid w:val="00040D08"/>
    <w:rsid w:val="00040DB0"/>
    <w:rsid w:val="00040EEC"/>
    <w:rsid w:val="00040FD3"/>
    <w:rsid w:val="000416F2"/>
    <w:rsid w:val="00041809"/>
    <w:rsid w:val="00041992"/>
    <w:rsid w:val="00041B46"/>
    <w:rsid w:val="00041B5D"/>
    <w:rsid w:val="00041BCC"/>
    <w:rsid w:val="00041D9A"/>
    <w:rsid w:val="00041FD5"/>
    <w:rsid w:val="00042095"/>
    <w:rsid w:val="00042233"/>
    <w:rsid w:val="00042391"/>
    <w:rsid w:val="000425AD"/>
    <w:rsid w:val="00042649"/>
    <w:rsid w:val="00042979"/>
    <w:rsid w:val="00042A28"/>
    <w:rsid w:val="00042FD5"/>
    <w:rsid w:val="0004330B"/>
    <w:rsid w:val="0004362C"/>
    <w:rsid w:val="000437E7"/>
    <w:rsid w:val="00043817"/>
    <w:rsid w:val="0004386F"/>
    <w:rsid w:val="0004390D"/>
    <w:rsid w:val="000439AE"/>
    <w:rsid w:val="00043A35"/>
    <w:rsid w:val="0004414A"/>
    <w:rsid w:val="000441D7"/>
    <w:rsid w:val="00044234"/>
    <w:rsid w:val="000446DA"/>
    <w:rsid w:val="000447A4"/>
    <w:rsid w:val="000447EC"/>
    <w:rsid w:val="0004480B"/>
    <w:rsid w:val="00044979"/>
    <w:rsid w:val="00044C54"/>
    <w:rsid w:val="00044C5F"/>
    <w:rsid w:val="00045403"/>
    <w:rsid w:val="000458D6"/>
    <w:rsid w:val="00045B3D"/>
    <w:rsid w:val="00045BD3"/>
    <w:rsid w:val="00045D48"/>
    <w:rsid w:val="000460B6"/>
    <w:rsid w:val="000461A7"/>
    <w:rsid w:val="00046452"/>
    <w:rsid w:val="0004652F"/>
    <w:rsid w:val="0004658E"/>
    <w:rsid w:val="000466BA"/>
    <w:rsid w:val="00046816"/>
    <w:rsid w:val="000469AE"/>
    <w:rsid w:val="00046E9A"/>
    <w:rsid w:val="00047137"/>
    <w:rsid w:val="000475E5"/>
    <w:rsid w:val="000476BF"/>
    <w:rsid w:val="00047915"/>
    <w:rsid w:val="00047AD3"/>
    <w:rsid w:val="00047BEF"/>
    <w:rsid w:val="00047D10"/>
    <w:rsid w:val="00047DB3"/>
    <w:rsid w:val="00047F32"/>
    <w:rsid w:val="0005048F"/>
    <w:rsid w:val="000506C9"/>
    <w:rsid w:val="00050718"/>
    <w:rsid w:val="00050A1B"/>
    <w:rsid w:val="00050B47"/>
    <w:rsid w:val="00050C1A"/>
    <w:rsid w:val="00051155"/>
    <w:rsid w:val="000512A0"/>
    <w:rsid w:val="000516DA"/>
    <w:rsid w:val="00051C0A"/>
    <w:rsid w:val="00051E18"/>
    <w:rsid w:val="00051E5E"/>
    <w:rsid w:val="000521A6"/>
    <w:rsid w:val="00052243"/>
    <w:rsid w:val="000522E1"/>
    <w:rsid w:val="000524D5"/>
    <w:rsid w:val="00052873"/>
    <w:rsid w:val="00052A36"/>
    <w:rsid w:val="00052C8F"/>
    <w:rsid w:val="00053244"/>
    <w:rsid w:val="00053A70"/>
    <w:rsid w:val="00053AAC"/>
    <w:rsid w:val="00053CBE"/>
    <w:rsid w:val="000540F6"/>
    <w:rsid w:val="000541E0"/>
    <w:rsid w:val="0005421F"/>
    <w:rsid w:val="00054301"/>
    <w:rsid w:val="0005490A"/>
    <w:rsid w:val="000549EF"/>
    <w:rsid w:val="00054B57"/>
    <w:rsid w:val="00054D8C"/>
    <w:rsid w:val="00054ED0"/>
    <w:rsid w:val="00054ED5"/>
    <w:rsid w:val="00054EE2"/>
    <w:rsid w:val="00055087"/>
    <w:rsid w:val="0005510B"/>
    <w:rsid w:val="000552EC"/>
    <w:rsid w:val="000554C3"/>
    <w:rsid w:val="000554F2"/>
    <w:rsid w:val="0005554B"/>
    <w:rsid w:val="00055666"/>
    <w:rsid w:val="00055695"/>
    <w:rsid w:val="000557F1"/>
    <w:rsid w:val="0005591A"/>
    <w:rsid w:val="000559E2"/>
    <w:rsid w:val="00055BE1"/>
    <w:rsid w:val="00055C37"/>
    <w:rsid w:val="000560D9"/>
    <w:rsid w:val="00056C2B"/>
    <w:rsid w:val="00056EEE"/>
    <w:rsid w:val="0005794B"/>
    <w:rsid w:val="00060014"/>
    <w:rsid w:val="00060244"/>
    <w:rsid w:val="00060575"/>
    <w:rsid w:val="00060BA4"/>
    <w:rsid w:val="00060CB1"/>
    <w:rsid w:val="000611EE"/>
    <w:rsid w:val="0006140F"/>
    <w:rsid w:val="00061BA4"/>
    <w:rsid w:val="00061D5D"/>
    <w:rsid w:val="00062657"/>
    <w:rsid w:val="0006280A"/>
    <w:rsid w:val="0006284A"/>
    <w:rsid w:val="000628E5"/>
    <w:rsid w:val="000629BD"/>
    <w:rsid w:val="00062A83"/>
    <w:rsid w:val="00062DA7"/>
    <w:rsid w:val="00062E1E"/>
    <w:rsid w:val="00062E3C"/>
    <w:rsid w:val="0006341B"/>
    <w:rsid w:val="00063529"/>
    <w:rsid w:val="000635B8"/>
    <w:rsid w:val="00063901"/>
    <w:rsid w:val="00063CC0"/>
    <w:rsid w:val="00063DCD"/>
    <w:rsid w:val="00063E60"/>
    <w:rsid w:val="00063EBB"/>
    <w:rsid w:val="00063F3C"/>
    <w:rsid w:val="00063F7D"/>
    <w:rsid w:val="0006456C"/>
    <w:rsid w:val="00064791"/>
    <w:rsid w:val="00064A07"/>
    <w:rsid w:val="00064C95"/>
    <w:rsid w:val="00064ED0"/>
    <w:rsid w:val="00064FD3"/>
    <w:rsid w:val="000650E3"/>
    <w:rsid w:val="00065437"/>
    <w:rsid w:val="000654A5"/>
    <w:rsid w:val="00065552"/>
    <w:rsid w:val="00065A13"/>
    <w:rsid w:val="00065B8D"/>
    <w:rsid w:val="00065E33"/>
    <w:rsid w:val="00065EC0"/>
    <w:rsid w:val="00066012"/>
    <w:rsid w:val="00066448"/>
    <w:rsid w:val="000664A7"/>
    <w:rsid w:val="0006670D"/>
    <w:rsid w:val="000667E9"/>
    <w:rsid w:val="00066A1B"/>
    <w:rsid w:val="00066AEF"/>
    <w:rsid w:val="00066B3D"/>
    <w:rsid w:val="00066D5D"/>
    <w:rsid w:val="00067304"/>
    <w:rsid w:val="00067372"/>
    <w:rsid w:val="000679EE"/>
    <w:rsid w:val="00067A33"/>
    <w:rsid w:val="00067E09"/>
    <w:rsid w:val="00067E78"/>
    <w:rsid w:val="00070143"/>
    <w:rsid w:val="000702EC"/>
    <w:rsid w:val="00070C39"/>
    <w:rsid w:val="00070D79"/>
    <w:rsid w:val="00071119"/>
    <w:rsid w:val="000714A0"/>
    <w:rsid w:val="000718DA"/>
    <w:rsid w:val="00071C36"/>
    <w:rsid w:val="00071CB4"/>
    <w:rsid w:val="00071EE2"/>
    <w:rsid w:val="00072042"/>
    <w:rsid w:val="00072211"/>
    <w:rsid w:val="00072294"/>
    <w:rsid w:val="000725C0"/>
    <w:rsid w:val="00072602"/>
    <w:rsid w:val="00072675"/>
    <w:rsid w:val="000726D6"/>
    <w:rsid w:val="000727F6"/>
    <w:rsid w:val="00072B0F"/>
    <w:rsid w:val="00072CC2"/>
    <w:rsid w:val="00072CE8"/>
    <w:rsid w:val="00073338"/>
    <w:rsid w:val="00073783"/>
    <w:rsid w:val="000739A2"/>
    <w:rsid w:val="00073F5A"/>
    <w:rsid w:val="0007409F"/>
    <w:rsid w:val="000744F6"/>
    <w:rsid w:val="00074881"/>
    <w:rsid w:val="00074CFF"/>
    <w:rsid w:val="00074D24"/>
    <w:rsid w:val="00074EAE"/>
    <w:rsid w:val="00074F24"/>
    <w:rsid w:val="0007513D"/>
    <w:rsid w:val="000751EE"/>
    <w:rsid w:val="000755BF"/>
    <w:rsid w:val="00075784"/>
    <w:rsid w:val="00075803"/>
    <w:rsid w:val="00076412"/>
    <w:rsid w:val="000765C8"/>
    <w:rsid w:val="00076894"/>
    <w:rsid w:val="00076A2C"/>
    <w:rsid w:val="00076B72"/>
    <w:rsid w:val="00076D92"/>
    <w:rsid w:val="00076FA4"/>
    <w:rsid w:val="00077454"/>
    <w:rsid w:val="00077570"/>
    <w:rsid w:val="000775A5"/>
    <w:rsid w:val="00077797"/>
    <w:rsid w:val="00077A7E"/>
    <w:rsid w:val="00077BC6"/>
    <w:rsid w:val="00077E5E"/>
    <w:rsid w:val="00077F9A"/>
    <w:rsid w:val="00080470"/>
    <w:rsid w:val="00080707"/>
    <w:rsid w:val="00080969"/>
    <w:rsid w:val="00080C22"/>
    <w:rsid w:val="00080FA0"/>
    <w:rsid w:val="00081277"/>
    <w:rsid w:val="0008134B"/>
    <w:rsid w:val="000814EE"/>
    <w:rsid w:val="000817DB"/>
    <w:rsid w:val="00081C57"/>
    <w:rsid w:val="00081F26"/>
    <w:rsid w:val="00082266"/>
    <w:rsid w:val="0008245D"/>
    <w:rsid w:val="000824CF"/>
    <w:rsid w:val="00082E31"/>
    <w:rsid w:val="0008302D"/>
    <w:rsid w:val="00083130"/>
    <w:rsid w:val="00083539"/>
    <w:rsid w:val="00083551"/>
    <w:rsid w:val="000835B6"/>
    <w:rsid w:val="000838F7"/>
    <w:rsid w:val="0008426C"/>
    <w:rsid w:val="000854C5"/>
    <w:rsid w:val="000858A7"/>
    <w:rsid w:val="00085B49"/>
    <w:rsid w:val="00085E03"/>
    <w:rsid w:val="00085E28"/>
    <w:rsid w:val="00086288"/>
    <w:rsid w:val="00086545"/>
    <w:rsid w:val="00086893"/>
    <w:rsid w:val="00086D4B"/>
    <w:rsid w:val="0008705E"/>
    <w:rsid w:val="000872CF"/>
    <w:rsid w:val="00087635"/>
    <w:rsid w:val="000876B2"/>
    <w:rsid w:val="000878A0"/>
    <w:rsid w:val="000879FA"/>
    <w:rsid w:val="00087E61"/>
    <w:rsid w:val="0009007B"/>
    <w:rsid w:val="000900B5"/>
    <w:rsid w:val="00090126"/>
    <w:rsid w:val="00090393"/>
    <w:rsid w:val="000905D8"/>
    <w:rsid w:val="00090680"/>
    <w:rsid w:val="0009098D"/>
    <w:rsid w:val="000909D4"/>
    <w:rsid w:val="00090B77"/>
    <w:rsid w:val="00090C5F"/>
    <w:rsid w:val="00091293"/>
    <w:rsid w:val="00091356"/>
    <w:rsid w:val="000916E9"/>
    <w:rsid w:val="00091AC6"/>
    <w:rsid w:val="00091BED"/>
    <w:rsid w:val="00091C24"/>
    <w:rsid w:val="00091CAA"/>
    <w:rsid w:val="00091FED"/>
    <w:rsid w:val="00092276"/>
    <w:rsid w:val="00092349"/>
    <w:rsid w:val="000923FA"/>
    <w:rsid w:val="00092D37"/>
    <w:rsid w:val="00092D81"/>
    <w:rsid w:val="00092F8A"/>
    <w:rsid w:val="00092FB2"/>
    <w:rsid w:val="0009314B"/>
    <w:rsid w:val="00093166"/>
    <w:rsid w:val="00093175"/>
    <w:rsid w:val="000931B1"/>
    <w:rsid w:val="00093237"/>
    <w:rsid w:val="000938D1"/>
    <w:rsid w:val="0009395F"/>
    <w:rsid w:val="00093B11"/>
    <w:rsid w:val="00093D71"/>
    <w:rsid w:val="0009404C"/>
    <w:rsid w:val="00094355"/>
    <w:rsid w:val="000945C8"/>
    <w:rsid w:val="0009482F"/>
    <w:rsid w:val="0009484C"/>
    <w:rsid w:val="00094EDE"/>
    <w:rsid w:val="00095072"/>
    <w:rsid w:val="000950BC"/>
    <w:rsid w:val="000955B2"/>
    <w:rsid w:val="00095A3E"/>
    <w:rsid w:val="00095BE2"/>
    <w:rsid w:val="00095C8B"/>
    <w:rsid w:val="00095CF1"/>
    <w:rsid w:val="00095D3D"/>
    <w:rsid w:val="00095E72"/>
    <w:rsid w:val="00095FD0"/>
    <w:rsid w:val="00096248"/>
    <w:rsid w:val="00096525"/>
    <w:rsid w:val="00096697"/>
    <w:rsid w:val="000967FC"/>
    <w:rsid w:val="0009689F"/>
    <w:rsid w:val="0009691E"/>
    <w:rsid w:val="00096B86"/>
    <w:rsid w:val="00096BAF"/>
    <w:rsid w:val="00096F5B"/>
    <w:rsid w:val="00097225"/>
    <w:rsid w:val="0009722D"/>
    <w:rsid w:val="00097361"/>
    <w:rsid w:val="000975AE"/>
    <w:rsid w:val="000976C6"/>
    <w:rsid w:val="00097A09"/>
    <w:rsid w:val="00097BB8"/>
    <w:rsid w:val="00097CD9"/>
    <w:rsid w:val="00097E4B"/>
    <w:rsid w:val="000A0239"/>
    <w:rsid w:val="000A03F9"/>
    <w:rsid w:val="000A05D8"/>
    <w:rsid w:val="000A0648"/>
    <w:rsid w:val="000A07A7"/>
    <w:rsid w:val="000A0920"/>
    <w:rsid w:val="000A098C"/>
    <w:rsid w:val="000A0D08"/>
    <w:rsid w:val="000A12EB"/>
    <w:rsid w:val="000A1883"/>
    <w:rsid w:val="000A1A9F"/>
    <w:rsid w:val="000A1BAD"/>
    <w:rsid w:val="000A1F15"/>
    <w:rsid w:val="000A2266"/>
    <w:rsid w:val="000A228F"/>
    <w:rsid w:val="000A2364"/>
    <w:rsid w:val="000A2474"/>
    <w:rsid w:val="000A24F6"/>
    <w:rsid w:val="000A277C"/>
    <w:rsid w:val="000A2920"/>
    <w:rsid w:val="000A2A64"/>
    <w:rsid w:val="000A2E51"/>
    <w:rsid w:val="000A2EE3"/>
    <w:rsid w:val="000A3129"/>
    <w:rsid w:val="000A3244"/>
    <w:rsid w:val="000A3251"/>
    <w:rsid w:val="000A3450"/>
    <w:rsid w:val="000A3C0D"/>
    <w:rsid w:val="000A3C5B"/>
    <w:rsid w:val="000A3D23"/>
    <w:rsid w:val="000A3F69"/>
    <w:rsid w:val="000A418D"/>
    <w:rsid w:val="000A4926"/>
    <w:rsid w:val="000A494E"/>
    <w:rsid w:val="000A4B88"/>
    <w:rsid w:val="000A4C16"/>
    <w:rsid w:val="000A4C19"/>
    <w:rsid w:val="000A4DCD"/>
    <w:rsid w:val="000A4E6B"/>
    <w:rsid w:val="000A4EDC"/>
    <w:rsid w:val="000A56EB"/>
    <w:rsid w:val="000A5D7A"/>
    <w:rsid w:val="000A604B"/>
    <w:rsid w:val="000A61FF"/>
    <w:rsid w:val="000A69BC"/>
    <w:rsid w:val="000A69D9"/>
    <w:rsid w:val="000A6F35"/>
    <w:rsid w:val="000A7101"/>
    <w:rsid w:val="000A7188"/>
    <w:rsid w:val="000A77AC"/>
    <w:rsid w:val="000A7A73"/>
    <w:rsid w:val="000A7C62"/>
    <w:rsid w:val="000B054A"/>
    <w:rsid w:val="000B0F1D"/>
    <w:rsid w:val="000B109C"/>
    <w:rsid w:val="000B11F2"/>
    <w:rsid w:val="000B1210"/>
    <w:rsid w:val="000B1324"/>
    <w:rsid w:val="000B144E"/>
    <w:rsid w:val="000B1CAF"/>
    <w:rsid w:val="000B1E03"/>
    <w:rsid w:val="000B205C"/>
    <w:rsid w:val="000B21D9"/>
    <w:rsid w:val="000B25D1"/>
    <w:rsid w:val="000B287E"/>
    <w:rsid w:val="000B2AA7"/>
    <w:rsid w:val="000B2E16"/>
    <w:rsid w:val="000B2F6A"/>
    <w:rsid w:val="000B319B"/>
    <w:rsid w:val="000B3330"/>
    <w:rsid w:val="000B3408"/>
    <w:rsid w:val="000B34A8"/>
    <w:rsid w:val="000B36C2"/>
    <w:rsid w:val="000B382C"/>
    <w:rsid w:val="000B3886"/>
    <w:rsid w:val="000B3A3C"/>
    <w:rsid w:val="000B3AC9"/>
    <w:rsid w:val="000B3D3D"/>
    <w:rsid w:val="000B3F82"/>
    <w:rsid w:val="000B3FA1"/>
    <w:rsid w:val="000B414F"/>
    <w:rsid w:val="000B41F0"/>
    <w:rsid w:val="000B42AC"/>
    <w:rsid w:val="000B463E"/>
    <w:rsid w:val="000B4654"/>
    <w:rsid w:val="000B48CB"/>
    <w:rsid w:val="000B4D72"/>
    <w:rsid w:val="000B4E27"/>
    <w:rsid w:val="000B5182"/>
    <w:rsid w:val="000B5366"/>
    <w:rsid w:val="000B5628"/>
    <w:rsid w:val="000B570E"/>
    <w:rsid w:val="000B5E63"/>
    <w:rsid w:val="000B5FDD"/>
    <w:rsid w:val="000B610D"/>
    <w:rsid w:val="000B6346"/>
    <w:rsid w:val="000B675E"/>
    <w:rsid w:val="000B6761"/>
    <w:rsid w:val="000B6AC6"/>
    <w:rsid w:val="000B6CD5"/>
    <w:rsid w:val="000B6CE5"/>
    <w:rsid w:val="000B6E53"/>
    <w:rsid w:val="000B6FC2"/>
    <w:rsid w:val="000B7650"/>
    <w:rsid w:val="000B77B0"/>
    <w:rsid w:val="000B7E26"/>
    <w:rsid w:val="000B7F8C"/>
    <w:rsid w:val="000C0055"/>
    <w:rsid w:val="000C0210"/>
    <w:rsid w:val="000C06FF"/>
    <w:rsid w:val="000C0B2F"/>
    <w:rsid w:val="000C0D11"/>
    <w:rsid w:val="000C0EA0"/>
    <w:rsid w:val="000C1D59"/>
    <w:rsid w:val="000C1FA4"/>
    <w:rsid w:val="000C210F"/>
    <w:rsid w:val="000C21CC"/>
    <w:rsid w:val="000C2378"/>
    <w:rsid w:val="000C2454"/>
    <w:rsid w:val="000C2791"/>
    <w:rsid w:val="000C2C75"/>
    <w:rsid w:val="000C2F91"/>
    <w:rsid w:val="000C33A4"/>
    <w:rsid w:val="000C340D"/>
    <w:rsid w:val="000C34AE"/>
    <w:rsid w:val="000C34CD"/>
    <w:rsid w:val="000C38A4"/>
    <w:rsid w:val="000C3A81"/>
    <w:rsid w:val="000C3B20"/>
    <w:rsid w:val="000C3B5E"/>
    <w:rsid w:val="000C3FF8"/>
    <w:rsid w:val="000C40BA"/>
    <w:rsid w:val="000C42EC"/>
    <w:rsid w:val="000C443B"/>
    <w:rsid w:val="000C4710"/>
    <w:rsid w:val="000C4876"/>
    <w:rsid w:val="000C4A4F"/>
    <w:rsid w:val="000C4A9F"/>
    <w:rsid w:val="000C4B19"/>
    <w:rsid w:val="000C50BF"/>
    <w:rsid w:val="000C564A"/>
    <w:rsid w:val="000C5D14"/>
    <w:rsid w:val="000C6213"/>
    <w:rsid w:val="000C6409"/>
    <w:rsid w:val="000C6640"/>
    <w:rsid w:val="000C6833"/>
    <w:rsid w:val="000C6CCD"/>
    <w:rsid w:val="000C6E47"/>
    <w:rsid w:val="000C6F39"/>
    <w:rsid w:val="000C6F83"/>
    <w:rsid w:val="000C7054"/>
    <w:rsid w:val="000C7131"/>
    <w:rsid w:val="000C71C1"/>
    <w:rsid w:val="000C7A50"/>
    <w:rsid w:val="000D0A16"/>
    <w:rsid w:val="000D0C52"/>
    <w:rsid w:val="000D0C6C"/>
    <w:rsid w:val="000D0FF6"/>
    <w:rsid w:val="000D1020"/>
    <w:rsid w:val="000D1262"/>
    <w:rsid w:val="000D13CE"/>
    <w:rsid w:val="000D1528"/>
    <w:rsid w:val="000D191A"/>
    <w:rsid w:val="000D1E01"/>
    <w:rsid w:val="000D2092"/>
    <w:rsid w:val="000D20FF"/>
    <w:rsid w:val="000D213A"/>
    <w:rsid w:val="000D21E6"/>
    <w:rsid w:val="000D22D3"/>
    <w:rsid w:val="000D274E"/>
    <w:rsid w:val="000D2756"/>
    <w:rsid w:val="000D29BD"/>
    <w:rsid w:val="000D2A7A"/>
    <w:rsid w:val="000D2AA4"/>
    <w:rsid w:val="000D2C04"/>
    <w:rsid w:val="000D2DE6"/>
    <w:rsid w:val="000D2EA6"/>
    <w:rsid w:val="000D30BC"/>
    <w:rsid w:val="000D3488"/>
    <w:rsid w:val="000D35AA"/>
    <w:rsid w:val="000D3692"/>
    <w:rsid w:val="000D36F4"/>
    <w:rsid w:val="000D398C"/>
    <w:rsid w:val="000D412B"/>
    <w:rsid w:val="000D4163"/>
    <w:rsid w:val="000D424B"/>
    <w:rsid w:val="000D434B"/>
    <w:rsid w:val="000D4F19"/>
    <w:rsid w:val="000D5342"/>
    <w:rsid w:val="000D54B6"/>
    <w:rsid w:val="000D596B"/>
    <w:rsid w:val="000D5B9A"/>
    <w:rsid w:val="000D5E98"/>
    <w:rsid w:val="000D5EF7"/>
    <w:rsid w:val="000D623A"/>
    <w:rsid w:val="000D65FE"/>
    <w:rsid w:val="000D67B6"/>
    <w:rsid w:val="000D6886"/>
    <w:rsid w:val="000D6927"/>
    <w:rsid w:val="000D7109"/>
    <w:rsid w:val="000D7249"/>
    <w:rsid w:val="000D73AB"/>
    <w:rsid w:val="000D7424"/>
    <w:rsid w:val="000D7FA9"/>
    <w:rsid w:val="000E0066"/>
    <w:rsid w:val="000E0421"/>
    <w:rsid w:val="000E09C6"/>
    <w:rsid w:val="000E0DD8"/>
    <w:rsid w:val="000E1286"/>
    <w:rsid w:val="000E193D"/>
    <w:rsid w:val="000E1CB9"/>
    <w:rsid w:val="000E1CC0"/>
    <w:rsid w:val="000E1E00"/>
    <w:rsid w:val="000E1E51"/>
    <w:rsid w:val="000E1EEA"/>
    <w:rsid w:val="000E1EEE"/>
    <w:rsid w:val="000E20E5"/>
    <w:rsid w:val="000E2388"/>
    <w:rsid w:val="000E2531"/>
    <w:rsid w:val="000E2765"/>
    <w:rsid w:val="000E2B09"/>
    <w:rsid w:val="000E2F9C"/>
    <w:rsid w:val="000E3118"/>
    <w:rsid w:val="000E39EA"/>
    <w:rsid w:val="000E3A31"/>
    <w:rsid w:val="000E3DB1"/>
    <w:rsid w:val="000E3E7A"/>
    <w:rsid w:val="000E4F4C"/>
    <w:rsid w:val="000E5071"/>
    <w:rsid w:val="000E578D"/>
    <w:rsid w:val="000E593E"/>
    <w:rsid w:val="000E5A63"/>
    <w:rsid w:val="000E5BB0"/>
    <w:rsid w:val="000E5C8A"/>
    <w:rsid w:val="000E5E5C"/>
    <w:rsid w:val="000E60D6"/>
    <w:rsid w:val="000E6BD7"/>
    <w:rsid w:val="000E6C06"/>
    <w:rsid w:val="000E6CF6"/>
    <w:rsid w:val="000E6FB1"/>
    <w:rsid w:val="000E7013"/>
    <w:rsid w:val="000E73A4"/>
    <w:rsid w:val="000E7696"/>
    <w:rsid w:val="000E77CD"/>
    <w:rsid w:val="000E7D23"/>
    <w:rsid w:val="000F0620"/>
    <w:rsid w:val="000F09CF"/>
    <w:rsid w:val="000F0B8A"/>
    <w:rsid w:val="000F0D6D"/>
    <w:rsid w:val="000F1107"/>
    <w:rsid w:val="000F1333"/>
    <w:rsid w:val="000F14AE"/>
    <w:rsid w:val="000F1625"/>
    <w:rsid w:val="000F176D"/>
    <w:rsid w:val="000F1D8E"/>
    <w:rsid w:val="000F1E6A"/>
    <w:rsid w:val="000F20BF"/>
    <w:rsid w:val="000F236C"/>
    <w:rsid w:val="000F251B"/>
    <w:rsid w:val="000F26DC"/>
    <w:rsid w:val="000F2F74"/>
    <w:rsid w:val="000F3790"/>
    <w:rsid w:val="000F3F2A"/>
    <w:rsid w:val="000F44C2"/>
    <w:rsid w:val="000F4A69"/>
    <w:rsid w:val="000F4D71"/>
    <w:rsid w:val="000F4E0B"/>
    <w:rsid w:val="000F4E73"/>
    <w:rsid w:val="000F4F20"/>
    <w:rsid w:val="000F50A1"/>
    <w:rsid w:val="000F5B47"/>
    <w:rsid w:val="000F718F"/>
    <w:rsid w:val="000F7407"/>
    <w:rsid w:val="000F7505"/>
    <w:rsid w:val="000F769E"/>
    <w:rsid w:val="000F7798"/>
    <w:rsid w:val="000F794B"/>
    <w:rsid w:val="000F7A51"/>
    <w:rsid w:val="000F7A5C"/>
    <w:rsid w:val="0010010B"/>
    <w:rsid w:val="001002EF"/>
    <w:rsid w:val="001005C9"/>
    <w:rsid w:val="00100E59"/>
    <w:rsid w:val="00100EDC"/>
    <w:rsid w:val="00101615"/>
    <w:rsid w:val="0010168C"/>
    <w:rsid w:val="001016F6"/>
    <w:rsid w:val="00101B2A"/>
    <w:rsid w:val="001021B2"/>
    <w:rsid w:val="0010271A"/>
    <w:rsid w:val="00102918"/>
    <w:rsid w:val="00102BC5"/>
    <w:rsid w:val="00102C1D"/>
    <w:rsid w:val="00102D5E"/>
    <w:rsid w:val="00102EAD"/>
    <w:rsid w:val="00103367"/>
    <w:rsid w:val="001036BE"/>
    <w:rsid w:val="001038C2"/>
    <w:rsid w:val="001038EB"/>
    <w:rsid w:val="001040AB"/>
    <w:rsid w:val="001041CE"/>
    <w:rsid w:val="001042E9"/>
    <w:rsid w:val="00104E53"/>
    <w:rsid w:val="00104FA8"/>
    <w:rsid w:val="0010515D"/>
    <w:rsid w:val="00105A81"/>
    <w:rsid w:val="00105B14"/>
    <w:rsid w:val="00106041"/>
    <w:rsid w:val="00106384"/>
    <w:rsid w:val="001065B4"/>
    <w:rsid w:val="00106735"/>
    <w:rsid w:val="001068FD"/>
    <w:rsid w:val="00106B2B"/>
    <w:rsid w:val="00106BB1"/>
    <w:rsid w:val="001070BE"/>
    <w:rsid w:val="00107402"/>
    <w:rsid w:val="00107579"/>
    <w:rsid w:val="0010780D"/>
    <w:rsid w:val="0010786B"/>
    <w:rsid w:val="00107A63"/>
    <w:rsid w:val="00107DA5"/>
    <w:rsid w:val="00107EEE"/>
    <w:rsid w:val="001105AB"/>
    <w:rsid w:val="00110B77"/>
    <w:rsid w:val="00110CAD"/>
    <w:rsid w:val="00110CE8"/>
    <w:rsid w:val="00110F2A"/>
    <w:rsid w:val="0011104E"/>
    <w:rsid w:val="00111081"/>
    <w:rsid w:val="00111266"/>
    <w:rsid w:val="0011131A"/>
    <w:rsid w:val="00111368"/>
    <w:rsid w:val="0011140D"/>
    <w:rsid w:val="00111451"/>
    <w:rsid w:val="00112667"/>
    <w:rsid w:val="001128BB"/>
    <w:rsid w:val="00112B8D"/>
    <w:rsid w:val="00112CFB"/>
    <w:rsid w:val="00112D5C"/>
    <w:rsid w:val="0011305E"/>
    <w:rsid w:val="00113779"/>
    <w:rsid w:val="00113796"/>
    <w:rsid w:val="001138C6"/>
    <w:rsid w:val="00113BE2"/>
    <w:rsid w:val="00113F46"/>
    <w:rsid w:val="0011422E"/>
    <w:rsid w:val="001143A6"/>
    <w:rsid w:val="00114C1E"/>
    <w:rsid w:val="00114E5C"/>
    <w:rsid w:val="00114F88"/>
    <w:rsid w:val="0011528A"/>
    <w:rsid w:val="00115626"/>
    <w:rsid w:val="00115873"/>
    <w:rsid w:val="00115C4A"/>
    <w:rsid w:val="00115C85"/>
    <w:rsid w:val="00115D14"/>
    <w:rsid w:val="00115D89"/>
    <w:rsid w:val="00115E37"/>
    <w:rsid w:val="00116E6C"/>
    <w:rsid w:val="001176C5"/>
    <w:rsid w:val="00117728"/>
    <w:rsid w:val="001178C0"/>
    <w:rsid w:val="00117952"/>
    <w:rsid w:val="001179BF"/>
    <w:rsid w:val="001179F0"/>
    <w:rsid w:val="00117B5B"/>
    <w:rsid w:val="0012057A"/>
    <w:rsid w:val="00120592"/>
    <w:rsid w:val="00120847"/>
    <w:rsid w:val="001208F6"/>
    <w:rsid w:val="00120EC1"/>
    <w:rsid w:val="00121327"/>
    <w:rsid w:val="001214E0"/>
    <w:rsid w:val="00121541"/>
    <w:rsid w:val="001215C4"/>
    <w:rsid w:val="00121976"/>
    <w:rsid w:val="00121AA8"/>
    <w:rsid w:val="00121C28"/>
    <w:rsid w:val="00121E2A"/>
    <w:rsid w:val="001220CE"/>
    <w:rsid w:val="001223EB"/>
    <w:rsid w:val="00122947"/>
    <w:rsid w:val="0012359B"/>
    <w:rsid w:val="001235F2"/>
    <w:rsid w:val="00123881"/>
    <w:rsid w:val="00123CD8"/>
    <w:rsid w:val="00123D4A"/>
    <w:rsid w:val="00123F64"/>
    <w:rsid w:val="00123F82"/>
    <w:rsid w:val="00123FF8"/>
    <w:rsid w:val="0012427A"/>
    <w:rsid w:val="00124576"/>
    <w:rsid w:val="00124601"/>
    <w:rsid w:val="00124C23"/>
    <w:rsid w:val="00124E58"/>
    <w:rsid w:val="00124E5E"/>
    <w:rsid w:val="001254D4"/>
    <w:rsid w:val="001257B5"/>
    <w:rsid w:val="00126045"/>
    <w:rsid w:val="0012604A"/>
    <w:rsid w:val="00126464"/>
    <w:rsid w:val="001266C9"/>
    <w:rsid w:val="001266EA"/>
    <w:rsid w:val="001266FF"/>
    <w:rsid w:val="00126779"/>
    <w:rsid w:val="00126DCB"/>
    <w:rsid w:val="00127208"/>
    <w:rsid w:val="00127491"/>
    <w:rsid w:val="0012757E"/>
    <w:rsid w:val="001277B0"/>
    <w:rsid w:val="001301D2"/>
    <w:rsid w:val="00130F46"/>
    <w:rsid w:val="0013143F"/>
    <w:rsid w:val="00131558"/>
    <w:rsid w:val="0013190F"/>
    <w:rsid w:val="0013195C"/>
    <w:rsid w:val="00131B96"/>
    <w:rsid w:val="00131C11"/>
    <w:rsid w:val="00131DB9"/>
    <w:rsid w:val="0013204D"/>
    <w:rsid w:val="0013240F"/>
    <w:rsid w:val="00132421"/>
    <w:rsid w:val="00132592"/>
    <w:rsid w:val="001326B3"/>
    <w:rsid w:val="001328A9"/>
    <w:rsid w:val="00132C83"/>
    <w:rsid w:val="00132C99"/>
    <w:rsid w:val="00132FFD"/>
    <w:rsid w:val="0013302B"/>
    <w:rsid w:val="00133036"/>
    <w:rsid w:val="00133095"/>
    <w:rsid w:val="00133308"/>
    <w:rsid w:val="00133693"/>
    <w:rsid w:val="00133A11"/>
    <w:rsid w:val="00133D45"/>
    <w:rsid w:val="00133D7C"/>
    <w:rsid w:val="00133F6A"/>
    <w:rsid w:val="00134483"/>
    <w:rsid w:val="00134521"/>
    <w:rsid w:val="001345D6"/>
    <w:rsid w:val="00134A28"/>
    <w:rsid w:val="00134BC8"/>
    <w:rsid w:val="00134CB8"/>
    <w:rsid w:val="00134EAB"/>
    <w:rsid w:val="001357A9"/>
    <w:rsid w:val="001357DA"/>
    <w:rsid w:val="001358D9"/>
    <w:rsid w:val="00135A10"/>
    <w:rsid w:val="00135E50"/>
    <w:rsid w:val="001362CC"/>
    <w:rsid w:val="001369C9"/>
    <w:rsid w:val="00136C54"/>
    <w:rsid w:val="00136D94"/>
    <w:rsid w:val="00137436"/>
    <w:rsid w:val="001375BD"/>
    <w:rsid w:val="0013760C"/>
    <w:rsid w:val="00137962"/>
    <w:rsid w:val="001379AA"/>
    <w:rsid w:val="00140132"/>
    <w:rsid w:val="001401F6"/>
    <w:rsid w:val="00140284"/>
    <w:rsid w:val="00140636"/>
    <w:rsid w:val="00140646"/>
    <w:rsid w:val="0014069A"/>
    <w:rsid w:val="00140D4E"/>
    <w:rsid w:val="00140ED1"/>
    <w:rsid w:val="001411C1"/>
    <w:rsid w:val="0014142A"/>
    <w:rsid w:val="00141831"/>
    <w:rsid w:val="00141BA6"/>
    <w:rsid w:val="00141F83"/>
    <w:rsid w:val="0014200C"/>
    <w:rsid w:val="00142058"/>
    <w:rsid w:val="00142269"/>
    <w:rsid w:val="00142518"/>
    <w:rsid w:val="00142A4E"/>
    <w:rsid w:val="00142C0C"/>
    <w:rsid w:val="00142D56"/>
    <w:rsid w:val="00142DCA"/>
    <w:rsid w:val="00142E01"/>
    <w:rsid w:val="00143097"/>
    <w:rsid w:val="001433F0"/>
    <w:rsid w:val="0014366D"/>
    <w:rsid w:val="001438B1"/>
    <w:rsid w:val="0014399A"/>
    <w:rsid w:val="00143B58"/>
    <w:rsid w:val="001442D0"/>
    <w:rsid w:val="00144941"/>
    <w:rsid w:val="00144A71"/>
    <w:rsid w:val="001450B4"/>
    <w:rsid w:val="001450D6"/>
    <w:rsid w:val="001451BE"/>
    <w:rsid w:val="0014546E"/>
    <w:rsid w:val="00145791"/>
    <w:rsid w:val="00145794"/>
    <w:rsid w:val="00145935"/>
    <w:rsid w:val="00145A01"/>
    <w:rsid w:val="00145C9F"/>
    <w:rsid w:val="00145F6B"/>
    <w:rsid w:val="001464CA"/>
    <w:rsid w:val="001464FE"/>
    <w:rsid w:val="00146D79"/>
    <w:rsid w:val="00147153"/>
    <w:rsid w:val="00147186"/>
    <w:rsid w:val="00147844"/>
    <w:rsid w:val="001479A8"/>
    <w:rsid w:val="00147DCA"/>
    <w:rsid w:val="001506AF"/>
    <w:rsid w:val="001507E5"/>
    <w:rsid w:val="00150F7E"/>
    <w:rsid w:val="001510A8"/>
    <w:rsid w:val="001511FC"/>
    <w:rsid w:val="001514DB"/>
    <w:rsid w:val="00151579"/>
    <w:rsid w:val="00151678"/>
    <w:rsid w:val="00151764"/>
    <w:rsid w:val="001518CE"/>
    <w:rsid w:val="00151AFB"/>
    <w:rsid w:val="00151C10"/>
    <w:rsid w:val="00151DB9"/>
    <w:rsid w:val="00151E50"/>
    <w:rsid w:val="001523F1"/>
    <w:rsid w:val="001523F9"/>
    <w:rsid w:val="00152445"/>
    <w:rsid w:val="00152563"/>
    <w:rsid w:val="001528B6"/>
    <w:rsid w:val="00152AFE"/>
    <w:rsid w:val="00152E01"/>
    <w:rsid w:val="00153614"/>
    <w:rsid w:val="00153988"/>
    <w:rsid w:val="00153F46"/>
    <w:rsid w:val="00153FEA"/>
    <w:rsid w:val="001542E3"/>
    <w:rsid w:val="001545E7"/>
    <w:rsid w:val="0015463A"/>
    <w:rsid w:val="00154B3E"/>
    <w:rsid w:val="00154B8B"/>
    <w:rsid w:val="00154F89"/>
    <w:rsid w:val="00155628"/>
    <w:rsid w:val="0015572E"/>
    <w:rsid w:val="00155764"/>
    <w:rsid w:val="001557C9"/>
    <w:rsid w:val="00155970"/>
    <w:rsid w:val="00155C8B"/>
    <w:rsid w:val="00155DF0"/>
    <w:rsid w:val="00155E22"/>
    <w:rsid w:val="00155F5D"/>
    <w:rsid w:val="001562B3"/>
    <w:rsid w:val="001563CC"/>
    <w:rsid w:val="0015674B"/>
    <w:rsid w:val="00156AFA"/>
    <w:rsid w:val="00156DF3"/>
    <w:rsid w:val="001571F8"/>
    <w:rsid w:val="00157669"/>
    <w:rsid w:val="00157F5D"/>
    <w:rsid w:val="001600A3"/>
    <w:rsid w:val="0016033F"/>
    <w:rsid w:val="00160453"/>
    <w:rsid w:val="00160460"/>
    <w:rsid w:val="0016060F"/>
    <w:rsid w:val="0016062E"/>
    <w:rsid w:val="00160727"/>
    <w:rsid w:val="00160A30"/>
    <w:rsid w:val="00160CAB"/>
    <w:rsid w:val="00160D61"/>
    <w:rsid w:val="001612A9"/>
    <w:rsid w:val="001626F8"/>
    <w:rsid w:val="0016294D"/>
    <w:rsid w:val="00162A5C"/>
    <w:rsid w:val="00162C49"/>
    <w:rsid w:val="00162E20"/>
    <w:rsid w:val="001633AF"/>
    <w:rsid w:val="001634F0"/>
    <w:rsid w:val="001637A6"/>
    <w:rsid w:val="0016399F"/>
    <w:rsid w:val="00163A72"/>
    <w:rsid w:val="001645C0"/>
    <w:rsid w:val="00164610"/>
    <w:rsid w:val="001646A2"/>
    <w:rsid w:val="001646A6"/>
    <w:rsid w:val="001646D5"/>
    <w:rsid w:val="001646D8"/>
    <w:rsid w:val="00164822"/>
    <w:rsid w:val="00164E07"/>
    <w:rsid w:val="00164EB4"/>
    <w:rsid w:val="00164F2E"/>
    <w:rsid w:val="0016539C"/>
    <w:rsid w:val="001653CF"/>
    <w:rsid w:val="0016544B"/>
    <w:rsid w:val="00165530"/>
    <w:rsid w:val="0016574A"/>
    <w:rsid w:val="00165B6E"/>
    <w:rsid w:val="00165E2D"/>
    <w:rsid w:val="00165EDB"/>
    <w:rsid w:val="00165F4E"/>
    <w:rsid w:val="00165FBA"/>
    <w:rsid w:val="001660B5"/>
    <w:rsid w:val="001664A0"/>
    <w:rsid w:val="00166531"/>
    <w:rsid w:val="00166532"/>
    <w:rsid w:val="001666CE"/>
    <w:rsid w:val="0016676B"/>
    <w:rsid w:val="00166859"/>
    <w:rsid w:val="001671F9"/>
    <w:rsid w:val="00167447"/>
    <w:rsid w:val="00167537"/>
    <w:rsid w:val="001678AC"/>
    <w:rsid w:val="00167B9B"/>
    <w:rsid w:val="00170071"/>
    <w:rsid w:val="0017057A"/>
    <w:rsid w:val="0017089D"/>
    <w:rsid w:val="00170959"/>
    <w:rsid w:val="00170F17"/>
    <w:rsid w:val="00170FCB"/>
    <w:rsid w:val="001712D0"/>
    <w:rsid w:val="001719BF"/>
    <w:rsid w:val="00171A01"/>
    <w:rsid w:val="00171A3C"/>
    <w:rsid w:val="00171B8B"/>
    <w:rsid w:val="00171EBE"/>
    <w:rsid w:val="00171FA4"/>
    <w:rsid w:val="00171FEF"/>
    <w:rsid w:val="0017218D"/>
    <w:rsid w:val="00172535"/>
    <w:rsid w:val="001728FA"/>
    <w:rsid w:val="00172C03"/>
    <w:rsid w:val="001730FC"/>
    <w:rsid w:val="00173CA9"/>
    <w:rsid w:val="00173F09"/>
    <w:rsid w:val="00173F8E"/>
    <w:rsid w:val="00173FDF"/>
    <w:rsid w:val="00174292"/>
    <w:rsid w:val="001748D6"/>
    <w:rsid w:val="00174AC2"/>
    <w:rsid w:val="00174C55"/>
    <w:rsid w:val="001757F7"/>
    <w:rsid w:val="0017587C"/>
    <w:rsid w:val="001759F4"/>
    <w:rsid w:val="00175AB8"/>
    <w:rsid w:val="00175B69"/>
    <w:rsid w:val="00175D03"/>
    <w:rsid w:val="00175FDE"/>
    <w:rsid w:val="001760B5"/>
    <w:rsid w:val="001760E2"/>
    <w:rsid w:val="00176111"/>
    <w:rsid w:val="0017643D"/>
    <w:rsid w:val="0017702B"/>
    <w:rsid w:val="0017708E"/>
    <w:rsid w:val="0017718F"/>
    <w:rsid w:val="0017768F"/>
    <w:rsid w:val="00177710"/>
    <w:rsid w:val="001779AC"/>
    <w:rsid w:val="00177D6E"/>
    <w:rsid w:val="00180388"/>
    <w:rsid w:val="001805F5"/>
    <w:rsid w:val="00180703"/>
    <w:rsid w:val="00180FE6"/>
    <w:rsid w:val="001812CB"/>
    <w:rsid w:val="001814B1"/>
    <w:rsid w:val="0018153F"/>
    <w:rsid w:val="0018225E"/>
    <w:rsid w:val="00182787"/>
    <w:rsid w:val="00182C64"/>
    <w:rsid w:val="00182E36"/>
    <w:rsid w:val="0018302B"/>
    <w:rsid w:val="00183205"/>
    <w:rsid w:val="00183553"/>
    <w:rsid w:val="00183A82"/>
    <w:rsid w:val="00183DF4"/>
    <w:rsid w:val="00183DF7"/>
    <w:rsid w:val="0018406C"/>
    <w:rsid w:val="001841EC"/>
    <w:rsid w:val="00184253"/>
    <w:rsid w:val="001847CB"/>
    <w:rsid w:val="001848B2"/>
    <w:rsid w:val="00184AD1"/>
    <w:rsid w:val="00184BD0"/>
    <w:rsid w:val="00184F18"/>
    <w:rsid w:val="001852A2"/>
    <w:rsid w:val="00185624"/>
    <w:rsid w:val="00185801"/>
    <w:rsid w:val="00185BD7"/>
    <w:rsid w:val="00186609"/>
    <w:rsid w:val="00186628"/>
    <w:rsid w:val="001867A0"/>
    <w:rsid w:val="001867D9"/>
    <w:rsid w:val="00186AC8"/>
    <w:rsid w:val="00187171"/>
    <w:rsid w:val="001878E8"/>
    <w:rsid w:val="00187CB1"/>
    <w:rsid w:val="00187D9A"/>
    <w:rsid w:val="00187EE1"/>
    <w:rsid w:val="001901C4"/>
    <w:rsid w:val="0019052D"/>
    <w:rsid w:val="001909D9"/>
    <w:rsid w:val="00190BF4"/>
    <w:rsid w:val="00190C0A"/>
    <w:rsid w:val="00190F7B"/>
    <w:rsid w:val="00190F9A"/>
    <w:rsid w:val="00191308"/>
    <w:rsid w:val="001915F5"/>
    <w:rsid w:val="0019178C"/>
    <w:rsid w:val="00191A4C"/>
    <w:rsid w:val="001922D1"/>
    <w:rsid w:val="001925A4"/>
    <w:rsid w:val="0019318F"/>
    <w:rsid w:val="0019370D"/>
    <w:rsid w:val="00193B0B"/>
    <w:rsid w:val="00193B79"/>
    <w:rsid w:val="00193E17"/>
    <w:rsid w:val="00193FA3"/>
    <w:rsid w:val="001940CD"/>
    <w:rsid w:val="0019448D"/>
    <w:rsid w:val="00194705"/>
    <w:rsid w:val="001947D1"/>
    <w:rsid w:val="0019489D"/>
    <w:rsid w:val="00195494"/>
    <w:rsid w:val="001954DB"/>
    <w:rsid w:val="00195553"/>
    <w:rsid w:val="0019556C"/>
    <w:rsid w:val="001957B1"/>
    <w:rsid w:val="001957BB"/>
    <w:rsid w:val="001958A1"/>
    <w:rsid w:val="0019598F"/>
    <w:rsid w:val="00195A5F"/>
    <w:rsid w:val="00195AA5"/>
    <w:rsid w:val="00195EAD"/>
    <w:rsid w:val="00195FF0"/>
    <w:rsid w:val="001960D8"/>
    <w:rsid w:val="00196384"/>
    <w:rsid w:val="001965C4"/>
    <w:rsid w:val="0019665C"/>
    <w:rsid w:val="00196890"/>
    <w:rsid w:val="00196A91"/>
    <w:rsid w:val="00196CB4"/>
    <w:rsid w:val="00196D72"/>
    <w:rsid w:val="0019744A"/>
    <w:rsid w:val="00197597"/>
    <w:rsid w:val="00197982"/>
    <w:rsid w:val="00197D34"/>
    <w:rsid w:val="00197FB3"/>
    <w:rsid w:val="001A015D"/>
    <w:rsid w:val="001A0905"/>
    <w:rsid w:val="001A1064"/>
    <w:rsid w:val="001A173F"/>
    <w:rsid w:val="001A17DC"/>
    <w:rsid w:val="001A187D"/>
    <w:rsid w:val="001A19B5"/>
    <w:rsid w:val="001A1BE8"/>
    <w:rsid w:val="001A1C57"/>
    <w:rsid w:val="001A22D1"/>
    <w:rsid w:val="001A25CB"/>
    <w:rsid w:val="001A296F"/>
    <w:rsid w:val="001A34D9"/>
    <w:rsid w:val="001A361F"/>
    <w:rsid w:val="001A3844"/>
    <w:rsid w:val="001A3B1E"/>
    <w:rsid w:val="001A3BAD"/>
    <w:rsid w:val="001A3C6B"/>
    <w:rsid w:val="001A400F"/>
    <w:rsid w:val="001A462D"/>
    <w:rsid w:val="001A4BE4"/>
    <w:rsid w:val="001A4E59"/>
    <w:rsid w:val="001A4FED"/>
    <w:rsid w:val="001A5018"/>
    <w:rsid w:val="001A5518"/>
    <w:rsid w:val="001A5568"/>
    <w:rsid w:val="001A5A8D"/>
    <w:rsid w:val="001A6181"/>
    <w:rsid w:val="001A621F"/>
    <w:rsid w:val="001A6228"/>
    <w:rsid w:val="001A62AC"/>
    <w:rsid w:val="001A68B0"/>
    <w:rsid w:val="001A68D5"/>
    <w:rsid w:val="001A6C69"/>
    <w:rsid w:val="001A6CD4"/>
    <w:rsid w:val="001A6D7A"/>
    <w:rsid w:val="001A7021"/>
    <w:rsid w:val="001A705D"/>
    <w:rsid w:val="001A70A7"/>
    <w:rsid w:val="001A77F6"/>
    <w:rsid w:val="001A78A8"/>
    <w:rsid w:val="001A7A38"/>
    <w:rsid w:val="001A7E02"/>
    <w:rsid w:val="001B0280"/>
    <w:rsid w:val="001B0409"/>
    <w:rsid w:val="001B0501"/>
    <w:rsid w:val="001B0528"/>
    <w:rsid w:val="001B0883"/>
    <w:rsid w:val="001B0B27"/>
    <w:rsid w:val="001B0B74"/>
    <w:rsid w:val="001B0D68"/>
    <w:rsid w:val="001B0D9B"/>
    <w:rsid w:val="001B13AB"/>
    <w:rsid w:val="001B14F3"/>
    <w:rsid w:val="001B15E3"/>
    <w:rsid w:val="001B1821"/>
    <w:rsid w:val="001B20FF"/>
    <w:rsid w:val="001B215D"/>
    <w:rsid w:val="001B253C"/>
    <w:rsid w:val="001B29B3"/>
    <w:rsid w:val="001B2BEE"/>
    <w:rsid w:val="001B2DAA"/>
    <w:rsid w:val="001B2E4D"/>
    <w:rsid w:val="001B2E87"/>
    <w:rsid w:val="001B2F6B"/>
    <w:rsid w:val="001B2FFB"/>
    <w:rsid w:val="001B33E0"/>
    <w:rsid w:val="001B36D9"/>
    <w:rsid w:val="001B37B4"/>
    <w:rsid w:val="001B3860"/>
    <w:rsid w:val="001B4039"/>
    <w:rsid w:val="001B415D"/>
    <w:rsid w:val="001B4186"/>
    <w:rsid w:val="001B478F"/>
    <w:rsid w:val="001B4ACD"/>
    <w:rsid w:val="001B4F0F"/>
    <w:rsid w:val="001B5024"/>
    <w:rsid w:val="001B5161"/>
    <w:rsid w:val="001B522E"/>
    <w:rsid w:val="001B52E2"/>
    <w:rsid w:val="001B53FE"/>
    <w:rsid w:val="001B570A"/>
    <w:rsid w:val="001B64A3"/>
    <w:rsid w:val="001B6C64"/>
    <w:rsid w:val="001B6D62"/>
    <w:rsid w:val="001B6E47"/>
    <w:rsid w:val="001B73C8"/>
    <w:rsid w:val="001B7529"/>
    <w:rsid w:val="001B79BD"/>
    <w:rsid w:val="001B79D6"/>
    <w:rsid w:val="001B7B8B"/>
    <w:rsid w:val="001B7CA8"/>
    <w:rsid w:val="001B7EBC"/>
    <w:rsid w:val="001B7FDA"/>
    <w:rsid w:val="001C025D"/>
    <w:rsid w:val="001C0274"/>
    <w:rsid w:val="001C079B"/>
    <w:rsid w:val="001C08C0"/>
    <w:rsid w:val="001C165E"/>
    <w:rsid w:val="001C1698"/>
    <w:rsid w:val="001C1A6B"/>
    <w:rsid w:val="001C1D2A"/>
    <w:rsid w:val="001C2335"/>
    <w:rsid w:val="001C27BD"/>
    <w:rsid w:val="001C29B7"/>
    <w:rsid w:val="001C2AC4"/>
    <w:rsid w:val="001C2DB9"/>
    <w:rsid w:val="001C2E25"/>
    <w:rsid w:val="001C32F1"/>
    <w:rsid w:val="001C3334"/>
    <w:rsid w:val="001C3486"/>
    <w:rsid w:val="001C3583"/>
    <w:rsid w:val="001C39D6"/>
    <w:rsid w:val="001C3DCC"/>
    <w:rsid w:val="001C43AF"/>
    <w:rsid w:val="001C46F0"/>
    <w:rsid w:val="001C4A58"/>
    <w:rsid w:val="001C4CB5"/>
    <w:rsid w:val="001C4D33"/>
    <w:rsid w:val="001C4DE0"/>
    <w:rsid w:val="001C542E"/>
    <w:rsid w:val="001C5657"/>
    <w:rsid w:val="001C578E"/>
    <w:rsid w:val="001C5BBD"/>
    <w:rsid w:val="001C5C5D"/>
    <w:rsid w:val="001C5CEB"/>
    <w:rsid w:val="001C5D7A"/>
    <w:rsid w:val="001C5EB4"/>
    <w:rsid w:val="001C6026"/>
    <w:rsid w:val="001C6031"/>
    <w:rsid w:val="001C60A1"/>
    <w:rsid w:val="001C61CD"/>
    <w:rsid w:val="001C6278"/>
    <w:rsid w:val="001C635F"/>
    <w:rsid w:val="001C65C9"/>
    <w:rsid w:val="001C69DA"/>
    <w:rsid w:val="001C6D80"/>
    <w:rsid w:val="001C6F1E"/>
    <w:rsid w:val="001C6FA5"/>
    <w:rsid w:val="001C738B"/>
    <w:rsid w:val="001C7647"/>
    <w:rsid w:val="001C77DF"/>
    <w:rsid w:val="001C7990"/>
    <w:rsid w:val="001D0917"/>
    <w:rsid w:val="001D0C12"/>
    <w:rsid w:val="001D127E"/>
    <w:rsid w:val="001D1352"/>
    <w:rsid w:val="001D1463"/>
    <w:rsid w:val="001D19DD"/>
    <w:rsid w:val="001D25CC"/>
    <w:rsid w:val="001D2ED0"/>
    <w:rsid w:val="001D3375"/>
    <w:rsid w:val="001D3813"/>
    <w:rsid w:val="001D4772"/>
    <w:rsid w:val="001D4C24"/>
    <w:rsid w:val="001D4F9C"/>
    <w:rsid w:val="001D5527"/>
    <w:rsid w:val="001D562F"/>
    <w:rsid w:val="001D5A70"/>
    <w:rsid w:val="001D6150"/>
    <w:rsid w:val="001D61D6"/>
    <w:rsid w:val="001D6379"/>
    <w:rsid w:val="001D6380"/>
    <w:rsid w:val="001D6A58"/>
    <w:rsid w:val="001D7056"/>
    <w:rsid w:val="001D72C0"/>
    <w:rsid w:val="001D7D18"/>
    <w:rsid w:val="001D7D1D"/>
    <w:rsid w:val="001D7E1D"/>
    <w:rsid w:val="001D7E94"/>
    <w:rsid w:val="001E031E"/>
    <w:rsid w:val="001E03C6"/>
    <w:rsid w:val="001E04FB"/>
    <w:rsid w:val="001E08BB"/>
    <w:rsid w:val="001E0AD2"/>
    <w:rsid w:val="001E0E94"/>
    <w:rsid w:val="001E0EFA"/>
    <w:rsid w:val="001E103E"/>
    <w:rsid w:val="001E11F7"/>
    <w:rsid w:val="001E16DE"/>
    <w:rsid w:val="001E18B7"/>
    <w:rsid w:val="001E192D"/>
    <w:rsid w:val="001E220B"/>
    <w:rsid w:val="001E28F2"/>
    <w:rsid w:val="001E2D8D"/>
    <w:rsid w:val="001E2DDA"/>
    <w:rsid w:val="001E2E29"/>
    <w:rsid w:val="001E2F5D"/>
    <w:rsid w:val="001E326C"/>
    <w:rsid w:val="001E3491"/>
    <w:rsid w:val="001E3705"/>
    <w:rsid w:val="001E4046"/>
    <w:rsid w:val="001E4061"/>
    <w:rsid w:val="001E42B3"/>
    <w:rsid w:val="001E432C"/>
    <w:rsid w:val="001E4504"/>
    <w:rsid w:val="001E4927"/>
    <w:rsid w:val="001E49AD"/>
    <w:rsid w:val="001E4DC4"/>
    <w:rsid w:val="001E5018"/>
    <w:rsid w:val="001E5032"/>
    <w:rsid w:val="001E5052"/>
    <w:rsid w:val="001E556E"/>
    <w:rsid w:val="001E55F9"/>
    <w:rsid w:val="001E5B8D"/>
    <w:rsid w:val="001E63E6"/>
    <w:rsid w:val="001E6B5C"/>
    <w:rsid w:val="001E738B"/>
    <w:rsid w:val="001E761D"/>
    <w:rsid w:val="001E7779"/>
    <w:rsid w:val="001E7934"/>
    <w:rsid w:val="001F018E"/>
    <w:rsid w:val="001F08F3"/>
    <w:rsid w:val="001F0DC1"/>
    <w:rsid w:val="001F0E2E"/>
    <w:rsid w:val="001F0E56"/>
    <w:rsid w:val="001F0F78"/>
    <w:rsid w:val="001F118B"/>
    <w:rsid w:val="001F1210"/>
    <w:rsid w:val="001F1766"/>
    <w:rsid w:val="001F1E6A"/>
    <w:rsid w:val="001F23DF"/>
    <w:rsid w:val="001F2779"/>
    <w:rsid w:val="001F2D94"/>
    <w:rsid w:val="001F2DD9"/>
    <w:rsid w:val="001F30AC"/>
    <w:rsid w:val="001F3608"/>
    <w:rsid w:val="001F39A2"/>
    <w:rsid w:val="001F3D99"/>
    <w:rsid w:val="001F4255"/>
    <w:rsid w:val="001F42D5"/>
    <w:rsid w:val="001F48FF"/>
    <w:rsid w:val="001F49FC"/>
    <w:rsid w:val="001F4E95"/>
    <w:rsid w:val="001F4EF1"/>
    <w:rsid w:val="001F5117"/>
    <w:rsid w:val="001F51B8"/>
    <w:rsid w:val="001F587B"/>
    <w:rsid w:val="001F5885"/>
    <w:rsid w:val="001F5A0F"/>
    <w:rsid w:val="001F5CBD"/>
    <w:rsid w:val="001F60CF"/>
    <w:rsid w:val="001F6457"/>
    <w:rsid w:val="001F663B"/>
    <w:rsid w:val="001F668F"/>
    <w:rsid w:val="001F6756"/>
    <w:rsid w:val="001F699A"/>
    <w:rsid w:val="001F6FC4"/>
    <w:rsid w:val="001F7098"/>
    <w:rsid w:val="001F71ED"/>
    <w:rsid w:val="001F7316"/>
    <w:rsid w:val="001F75C9"/>
    <w:rsid w:val="001F7AC0"/>
    <w:rsid w:val="001F7C3B"/>
    <w:rsid w:val="001F7ECD"/>
    <w:rsid w:val="0020019E"/>
    <w:rsid w:val="00200201"/>
    <w:rsid w:val="0020025B"/>
    <w:rsid w:val="0020036E"/>
    <w:rsid w:val="002006E4"/>
    <w:rsid w:val="00200A86"/>
    <w:rsid w:val="002012C5"/>
    <w:rsid w:val="00201377"/>
    <w:rsid w:val="00201381"/>
    <w:rsid w:val="002013DC"/>
    <w:rsid w:val="0020143B"/>
    <w:rsid w:val="0020160F"/>
    <w:rsid w:val="00201802"/>
    <w:rsid w:val="00201AF4"/>
    <w:rsid w:val="00201B8D"/>
    <w:rsid w:val="00202715"/>
    <w:rsid w:val="00202BD6"/>
    <w:rsid w:val="002033AF"/>
    <w:rsid w:val="00203ABB"/>
    <w:rsid w:val="00203BB4"/>
    <w:rsid w:val="00203E4C"/>
    <w:rsid w:val="00203F7F"/>
    <w:rsid w:val="00203FE2"/>
    <w:rsid w:val="0020405F"/>
    <w:rsid w:val="0020407B"/>
    <w:rsid w:val="002040C2"/>
    <w:rsid w:val="002041BF"/>
    <w:rsid w:val="00204666"/>
    <w:rsid w:val="00204B7E"/>
    <w:rsid w:val="00204ED1"/>
    <w:rsid w:val="0020503F"/>
    <w:rsid w:val="0020506C"/>
    <w:rsid w:val="002050EB"/>
    <w:rsid w:val="002053C5"/>
    <w:rsid w:val="00205627"/>
    <w:rsid w:val="0020566E"/>
    <w:rsid w:val="00205908"/>
    <w:rsid w:val="00205A27"/>
    <w:rsid w:val="00205FD0"/>
    <w:rsid w:val="00206556"/>
    <w:rsid w:val="00206859"/>
    <w:rsid w:val="0020690D"/>
    <w:rsid w:val="00206A5E"/>
    <w:rsid w:val="00206CDB"/>
    <w:rsid w:val="00206D22"/>
    <w:rsid w:val="0020720C"/>
    <w:rsid w:val="002073B1"/>
    <w:rsid w:val="00207875"/>
    <w:rsid w:val="00207D03"/>
    <w:rsid w:val="00207D68"/>
    <w:rsid w:val="00207EC7"/>
    <w:rsid w:val="00207F42"/>
    <w:rsid w:val="0021036B"/>
    <w:rsid w:val="002104C9"/>
    <w:rsid w:val="00210505"/>
    <w:rsid w:val="002105F8"/>
    <w:rsid w:val="0021092B"/>
    <w:rsid w:val="00210AD6"/>
    <w:rsid w:val="00210EAD"/>
    <w:rsid w:val="0021128D"/>
    <w:rsid w:val="002116FB"/>
    <w:rsid w:val="0021184B"/>
    <w:rsid w:val="00211A15"/>
    <w:rsid w:val="00211D25"/>
    <w:rsid w:val="00211DBD"/>
    <w:rsid w:val="00211E1E"/>
    <w:rsid w:val="00212606"/>
    <w:rsid w:val="00212862"/>
    <w:rsid w:val="00212E5B"/>
    <w:rsid w:val="00212ECF"/>
    <w:rsid w:val="00212F2D"/>
    <w:rsid w:val="002130C8"/>
    <w:rsid w:val="002131F8"/>
    <w:rsid w:val="00213354"/>
    <w:rsid w:val="00213463"/>
    <w:rsid w:val="0021387E"/>
    <w:rsid w:val="00213A54"/>
    <w:rsid w:val="00214025"/>
    <w:rsid w:val="00214031"/>
    <w:rsid w:val="00214184"/>
    <w:rsid w:val="0021423F"/>
    <w:rsid w:val="002147FD"/>
    <w:rsid w:val="0021490C"/>
    <w:rsid w:val="00214A1E"/>
    <w:rsid w:val="00214A69"/>
    <w:rsid w:val="00214B41"/>
    <w:rsid w:val="0021504B"/>
    <w:rsid w:val="00215072"/>
    <w:rsid w:val="00215549"/>
    <w:rsid w:val="00215D5B"/>
    <w:rsid w:val="00215E72"/>
    <w:rsid w:val="00215F0A"/>
    <w:rsid w:val="00216029"/>
    <w:rsid w:val="00216033"/>
    <w:rsid w:val="0021607D"/>
    <w:rsid w:val="0021620C"/>
    <w:rsid w:val="0021653C"/>
    <w:rsid w:val="00216619"/>
    <w:rsid w:val="00216A0B"/>
    <w:rsid w:val="00216A65"/>
    <w:rsid w:val="00216A8D"/>
    <w:rsid w:val="00216DA2"/>
    <w:rsid w:val="002171DC"/>
    <w:rsid w:val="0021731F"/>
    <w:rsid w:val="002176EB"/>
    <w:rsid w:val="00217E4F"/>
    <w:rsid w:val="002207D4"/>
    <w:rsid w:val="00220863"/>
    <w:rsid w:val="00220FB5"/>
    <w:rsid w:val="00221A42"/>
    <w:rsid w:val="00221B9F"/>
    <w:rsid w:val="00221D9A"/>
    <w:rsid w:val="00221DF6"/>
    <w:rsid w:val="00221EA6"/>
    <w:rsid w:val="00221F33"/>
    <w:rsid w:val="002220BB"/>
    <w:rsid w:val="002221FD"/>
    <w:rsid w:val="0022224D"/>
    <w:rsid w:val="0022234D"/>
    <w:rsid w:val="002223E9"/>
    <w:rsid w:val="00222D04"/>
    <w:rsid w:val="002231CB"/>
    <w:rsid w:val="00223227"/>
    <w:rsid w:val="0022331E"/>
    <w:rsid w:val="00223389"/>
    <w:rsid w:val="0022368C"/>
    <w:rsid w:val="002238B5"/>
    <w:rsid w:val="00223A98"/>
    <w:rsid w:val="00223E26"/>
    <w:rsid w:val="00223E83"/>
    <w:rsid w:val="00223F3A"/>
    <w:rsid w:val="00224321"/>
    <w:rsid w:val="002246BF"/>
    <w:rsid w:val="002247C0"/>
    <w:rsid w:val="002248A5"/>
    <w:rsid w:val="002249A5"/>
    <w:rsid w:val="00224B6F"/>
    <w:rsid w:val="00224BA8"/>
    <w:rsid w:val="00225109"/>
    <w:rsid w:val="00225138"/>
    <w:rsid w:val="002251B5"/>
    <w:rsid w:val="002251D5"/>
    <w:rsid w:val="0022521E"/>
    <w:rsid w:val="002252FA"/>
    <w:rsid w:val="0022546B"/>
    <w:rsid w:val="0022556A"/>
    <w:rsid w:val="00225E0C"/>
    <w:rsid w:val="00225EA5"/>
    <w:rsid w:val="00226216"/>
    <w:rsid w:val="00226453"/>
    <w:rsid w:val="00226533"/>
    <w:rsid w:val="00226658"/>
    <w:rsid w:val="00226A04"/>
    <w:rsid w:val="00226A65"/>
    <w:rsid w:val="00227148"/>
    <w:rsid w:val="0022746D"/>
    <w:rsid w:val="0022753C"/>
    <w:rsid w:val="00227618"/>
    <w:rsid w:val="00227697"/>
    <w:rsid w:val="00227AFD"/>
    <w:rsid w:val="00227AFF"/>
    <w:rsid w:val="00230099"/>
    <w:rsid w:val="002309D4"/>
    <w:rsid w:val="00230D0C"/>
    <w:rsid w:val="00231069"/>
    <w:rsid w:val="0023131C"/>
    <w:rsid w:val="00231D23"/>
    <w:rsid w:val="0023243C"/>
    <w:rsid w:val="00232775"/>
    <w:rsid w:val="00232B11"/>
    <w:rsid w:val="00232C66"/>
    <w:rsid w:val="00232FED"/>
    <w:rsid w:val="002331F8"/>
    <w:rsid w:val="00233EF0"/>
    <w:rsid w:val="0023450C"/>
    <w:rsid w:val="0023480F"/>
    <w:rsid w:val="00234C47"/>
    <w:rsid w:val="002350CB"/>
    <w:rsid w:val="002352C2"/>
    <w:rsid w:val="002362E0"/>
    <w:rsid w:val="002367A2"/>
    <w:rsid w:val="00236ACB"/>
    <w:rsid w:val="00237250"/>
    <w:rsid w:val="0023728A"/>
    <w:rsid w:val="00237358"/>
    <w:rsid w:val="002374C2"/>
    <w:rsid w:val="002376B6"/>
    <w:rsid w:val="00237822"/>
    <w:rsid w:val="002379E8"/>
    <w:rsid w:val="00237A06"/>
    <w:rsid w:val="00237ACC"/>
    <w:rsid w:val="00237DD1"/>
    <w:rsid w:val="00237FE6"/>
    <w:rsid w:val="00240051"/>
    <w:rsid w:val="00240530"/>
    <w:rsid w:val="002405E2"/>
    <w:rsid w:val="00240714"/>
    <w:rsid w:val="00240B30"/>
    <w:rsid w:val="00240C00"/>
    <w:rsid w:val="00240FB8"/>
    <w:rsid w:val="0024158B"/>
    <w:rsid w:val="00241631"/>
    <w:rsid w:val="00242092"/>
    <w:rsid w:val="0024274E"/>
    <w:rsid w:val="00242848"/>
    <w:rsid w:val="00242BB3"/>
    <w:rsid w:val="00242BBE"/>
    <w:rsid w:val="00242DE3"/>
    <w:rsid w:val="00242E45"/>
    <w:rsid w:val="002438C4"/>
    <w:rsid w:val="002439A1"/>
    <w:rsid w:val="002441AA"/>
    <w:rsid w:val="0024455E"/>
    <w:rsid w:val="00244BD5"/>
    <w:rsid w:val="00244D41"/>
    <w:rsid w:val="00244F8E"/>
    <w:rsid w:val="002454DE"/>
    <w:rsid w:val="0024558A"/>
    <w:rsid w:val="0024570D"/>
    <w:rsid w:val="00245768"/>
    <w:rsid w:val="00245F54"/>
    <w:rsid w:val="00246865"/>
    <w:rsid w:val="00246944"/>
    <w:rsid w:val="00246C97"/>
    <w:rsid w:val="002470EF"/>
    <w:rsid w:val="00247756"/>
    <w:rsid w:val="002477FC"/>
    <w:rsid w:val="002477FE"/>
    <w:rsid w:val="00247C0F"/>
    <w:rsid w:val="00247E18"/>
    <w:rsid w:val="00247E24"/>
    <w:rsid w:val="00250387"/>
    <w:rsid w:val="002503EB"/>
    <w:rsid w:val="0025044D"/>
    <w:rsid w:val="0025059B"/>
    <w:rsid w:val="002506D4"/>
    <w:rsid w:val="002509E1"/>
    <w:rsid w:val="00250B34"/>
    <w:rsid w:val="002511BA"/>
    <w:rsid w:val="00251404"/>
    <w:rsid w:val="0025147C"/>
    <w:rsid w:val="002514AD"/>
    <w:rsid w:val="00251A46"/>
    <w:rsid w:val="00251C6A"/>
    <w:rsid w:val="00251C7B"/>
    <w:rsid w:val="00252E18"/>
    <w:rsid w:val="00253169"/>
    <w:rsid w:val="002535E7"/>
    <w:rsid w:val="002535FB"/>
    <w:rsid w:val="00253B7E"/>
    <w:rsid w:val="00253C97"/>
    <w:rsid w:val="00253CE2"/>
    <w:rsid w:val="00254048"/>
    <w:rsid w:val="002542F0"/>
    <w:rsid w:val="0025436F"/>
    <w:rsid w:val="0025441E"/>
    <w:rsid w:val="0025491D"/>
    <w:rsid w:val="0025552C"/>
    <w:rsid w:val="0025567B"/>
    <w:rsid w:val="00255763"/>
    <w:rsid w:val="0025577A"/>
    <w:rsid w:val="00255AA0"/>
    <w:rsid w:val="00255D2C"/>
    <w:rsid w:val="00256170"/>
    <w:rsid w:val="002562C3"/>
    <w:rsid w:val="00256366"/>
    <w:rsid w:val="00256726"/>
    <w:rsid w:val="002568C8"/>
    <w:rsid w:val="00256A69"/>
    <w:rsid w:val="00256B4A"/>
    <w:rsid w:val="00256BD7"/>
    <w:rsid w:val="002570A5"/>
    <w:rsid w:val="002578E7"/>
    <w:rsid w:val="002579F6"/>
    <w:rsid w:val="00257B2F"/>
    <w:rsid w:val="00260149"/>
    <w:rsid w:val="002602C2"/>
    <w:rsid w:val="00260312"/>
    <w:rsid w:val="00260642"/>
    <w:rsid w:val="00260653"/>
    <w:rsid w:val="00260769"/>
    <w:rsid w:val="00260CF7"/>
    <w:rsid w:val="00260E62"/>
    <w:rsid w:val="002611FA"/>
    <w:rsid w:val="00261391"/>
    <w:rsid w:val="002617AC"/>
    <w:rsid w:val="00262358"/>
    <w:rsid w:val="00262586"/>
    <w:rsid w:val="00262E0F"/>
    <w:rsid w:val="0026343D"/>
    <w:rsid w:val="00263688"/>
    <w:rsid w:val="002638D0"/>
    <w:rsid w:val="002638D8"/>
    <w:rsid w:val="0026390F"/>
    <w:rsid w:val="0026394B"/>
    <w:rsid w:val="00263A03"/>
    <w:rsid w:val="00263E09"/>
    <w:rsid w:val="002641BD"/>
    <w:rsid w:val="002644AF"/>
    <w:rsid w:val="002649AC"/>
    <w:rsid w:val="00264A01"/>
    <w:rsid w:val="00264AA2"/>
    <w:rsid w:val="00264B15"/>
    <w:rsid w:val="00264E85"/>
    <w:rsid w:val="00264EC9"/>
    <w:rsid w:val="002656E0"/>
    <w:rsid w:val="0026590C"/>
    <w:rsid w:val="00265B4E"/>
    <w:rsid w:val="00265C30"/>
    <w:rsid w:val="00265C50"/>
    <w:rsid w:val="00265C68"/>
    <w:rsid w:val="00266013"/>
    <w:rsid w:val="00266260"/>
    <w:rsid w:val="002665D5"/>
    <w:rsid w:val="0026686B"/>
    <w:rsid w:val="00266897"/>
    <w:rsid w:val="00266D8F"/>
    <w:rsid w:val="00266F2D"/>
    <w:rsid w:val="002670AC"/>
    <w:rsid w:val="0026725B"/>
    <w:rsid w:val="002675C5"/>
    <w:rsid w:val="00267C1F"/>
    <w:rsid w:val="00270198"/>
    <w:rsid w:val="00270270"/>
    <w:rsid w:val="002702B6"/>
    <w:rsid w:val="00270883"/>
    <w:rsid w:val="002708A2"/>
    <w:rsid w:val="00270968"/>
    <w:rsid w:val="00270986"/>
    <w:rsid w:val="002709AA"/>
    <w:rsid w:val="002709EA"/>
    <w:rsid w:val="00270C4C"/>
    <w:rsid w:val="00270D69"/>
    <w:rsid w:val="00271110"/>
    <w:rsid w:val="002714F2"/>
    <w:rsid w:val="002716DF"/>
    <w:rsid w:val="002717AD"/>
    <w:rsid w:val="00271C51"/>
    <w:rsid w:val="00271CED"/>
    <w:rsid w:val="00271D55"/>
    <w:rsid w:val="0027223D"/>
    <w:rsid w:val="00272259"/>
    <w:rsid w:val="00272BB1"/>
    <w:rsid w:val="0027302D"/>
    <w:rsid w:val="0027306D"/>
    <w:rsid w:val="002731D7"/>
    <w:rsid w:val="00273218"/>
    <w:rsid w:val="002734D6"/>
    <w:rsid w:val="00273559"/>
    <w:rsid w:val="00273647"/>
    <w:rsid w:val="0027390B"/>
    <w:rsid w:val="00273A97"/>
    <w:rsid w:val="00273B4E"/>
    <w:rsid w:val="00273D6B"/>
    <w:rsid w:val="002744BF"/>
    <w:rsid w:val="0027453A"/>
    <w:rsid w:val="00274B5D"/>
    <w:rsid w:val="00274C14"/>
    <w:rsid w:val="0027546F"/>
    <w:rsid w:val="0027571C"/>
    <w:rsid w:val="0027593B"/>
    <w:rsid w:val="002759A7"/>
    <w:rsid w:val="00275CFF"/>
    <w:rsid w:val="00275EAD"/>
    <w:rsid w:val="00275EE0"/>
    <w:rsid w:val="00275F59"/>
    <w:rsid w:val="002766BC"/>
    <w:rsid w:val="002769ED"/>
    <w:rsid w:val="00276D28"/>
    <w:rsid w:val="00276E57"/>
    <w:rsid w:val="00277196"/>
    <w:rsid w:val="002777C4"/>
    <w:rsid w:val="00277C6C"/>
    <w:rsid w:val="00277D1D"/>
    <w:rsid w:val="00280608"/>
    <w:rsid w:val="00280817"/>
    <w:rsid w:val="00280C2D"/>
    <w:rsid w:val="00280C3C"/>
    <w:rsid w:val="002815B7"/>
    <w:rsid w:val="00281BD8"/>
    <w:rsid w:val="00282496"/>
    <w:rsid w:val="002824D7"/>
    <w:rsid w:val="00282E2D"/>
    <w:rsid w:val="002830AC"/>
    <w:rsid w:val="00283308"/>
    <w:rsid w:val="00283382"/>
    <w:rsid w:val="002833B6"/>
    <w:rsid w:val="00283417"/>
    <w:rsid w:val="002835CA"/>
    <w:rsid w:val="002836C4"/>
    <w:rsid w:val="0028377A"/>
    <w:rsid w:val="00283B2D"/>
    <w:rsid w:val="00283D3A"/>
    <w:rsid w:val="00283D57"/>
    <w:rsid w:val="002840CE"/>
    <w:rsid w:val="002841F1"/>
    <w:rsid w:val="00284769"/>
    <w:rsid w:val="002848CF"/>
    <w:rsid w:val="00284EDC"/>
    <w:rsid w:val="00284F64"/>
    <w:rsid w:val="0028541E"/>
    <w:rsid w:val="002856A5"/>
    <w:rsid w:val="00285B1A"/>
    <w:rsid w:val="00285B87"/>
    <w:rsid w:val="00285BF4"/>
    <w:rsid w:val="00285D92"/>
    <w:rsid w:val="002868F0"/>
    <w:rsid w:val="00286C9A"/>
    <w:rsid w:val="0028708D"/>
    <w:rsid w:val="002872A1"/>
    <w:rsid w:val="0028786E"/>
    <w:rsid w:val="00287E12"/>
    <w:rsid w:val="00287E1C"/>
    <w:rsid w:val="00287EE4"/>
    <w:rsid w:val="00287FC8"/>
    <w:rsid w:val="00290050"/>
    <w:rsid w:val="00290226"/>
    <w:rsid w:val="002905F1"/>
    <w:rsid w:val="002905F5"/>
    <w:rsid w:val="00290708"/>
    <w:rsid w:val="0029082D"/>
    <w:rsid w:val="00290922"/>
    <w:rsid w:val="00290DE8"/>
    <w:rsid w:val="0029125F"/>
    <w:rsid w:val="002914F2"/>
    <w:rsid w:val="00291943"/>
    <w:rsid w:val="00291C06"/>
    <w:rsid w:val="00291CAA"/>
    <w:rsid w:val="00291DAF"/>
    <w:rsid w:val="00291EAF"/>
    <w:rsid w:val="0029213E"/>
    <w:rsid w:val="002928D8"/>
    <w:rsid w:val="00292B54"/>
    <w:rsid w:val="00293175"/>
    <w:rsid w:val="002932FA"/>
    <w:rsid w:val="00293494"/>
    <w:rsid w:val="002937A1"/>
    <w:rsid w:val="00293AD4"/>
    <w:rsid w:val="00293AFA"/>
    <w:rsid w:val="00293D24"/>
    <w:rsid w:val="00294373"/>
    <w:rsid w:val="00294382"/>
    <w:rsid w:val="0029438F"/>
    <w:rsid w:val="00294B36"/>
    <w:rsid w:val="00294D58"/>
    <w:rsid w:val="00294D6A"/>
    <w:rsid w:val="00294DD9"/>
    <w:rsid w:val="00295030"/>
    <w:rsid w:val="0029591C"/>
    <w:rsid w:val="00295E41"/>
    <w:rsid w:val="00295E77"/>
    <w:rsid w:val="00295FE1"/>
    <w:rsid w:val="0029601E"/>
    <w:rsid w:val="002961FD"/>
    <w:rsid w:val="002962B5"/>
    <w:rsid w:val="002964D5"/>
    <w:rsid w:val="002967BF"/>
    <w:rsid w:val="00296934"/>
    <w:rsid w:val="00296A88"/>
    <w:rsid w:val="0029706F"/>
    <w:rsid w:val="00297461"/>
    <w:rsid w:val="002975D5"/>
    <w:rsid w:val="002976CD"/>
    <w:rsid w:val="002979DC"/>
    <w:rsid w:val="00297B05"/>
    <w:rsid w:val="00297BC6"/>
    <w:rsid w:val="00297DCA"/>
    <w:rsid w:val="00297E02"/>
    <w:rsid w:val="002A00E0"/>
    <w:rsid w:val="002A065C"/>
    <w:rsid w:val="002A098D"/>
    <w:rsid w:val="002A0EF5"/>
    <w:rsid w:val="002A0F00"/>
    <w:rsid w:val="002A130D"/>
    <w:rsid w:val="002A15BB"/>
    <w:rsid w:val="002A1761"/>
    <w:rsid w:val="002A1A7F"/>
    <w:rsid w:val="002A1B3B"/>
    <w:rsid w:val="002A1BC9"/>
    <w:rsid w:val="002A1F26"/>
    <w:rsid w:val="002A2583"/>
    <w:rsid w:val="002A27D8"/>
    <w:rsid w:val="002A2834"/>
    <w:rsid w:val="002A2D5D"/>
    <w:rsid w:val="002A2EB3"/>
    <w:rsid w:val="002A3063"/>
    <w:rsid w:val="002A35F0"/>
    <w:rsid w:val="002A363E"/>
    <w:rsid w:val="002A36C0"/>
    <w:rsid w:val="002A38A7"/>
    <w:rsid w:val="002A3981"/>
    <w:rsid w:val="002A3BFC"/>
    <w:rsid w:val="002A3D7D"/>
    <w:rsid w:val="002A3FD4"/>
    <w:rsid w:val="002A424D"/>
    <w:rsid w:val="002A44BE"/>
    <w:rsid w:val="002A45D5"/>
    <w:rsid w:val="002A4EC5"/>
    <w:rsid w:val="002A4ECF"/>
    <w:rsid w:val="002A5074"/>
    <w:rsid w:val="002A54A9"/>
    <w:rsid w:val="002A596D"/>
    <w:rsid w:val="002A5C3B"/>
    <w:rsid w:val="002A5F90"/>
    <w:rsid w:val="002A6606"/>
    <w:rsid w:val="002A6B7A"/>
    <w:rsid w:val="002A6C30"/>
    <w:rsid w:val="002A738C"/>
    <w:rsid w:val="002A75FD"/>
    <w:rsid w:val="002A76B2"/>
    <w:rsid w:val="002A7A5B"/>
    <w:rsid w:val="002A7B31"/>
    <w:rsid w:val="002A7C30"/>
    <w:rsid w:val="002A7F1B"/>
    <w:rsid w:val="002B01AA"/>
    <w:rsid w:val="002B07A1"/>
    <w:rsid w:val="002B07D0"/>
    <w:rsid w:val="002B0A0F"/>
    <w:rsid w:val="002B0A62"/>
    <w:rsid w:val="002B0FF8"/>
    <w:rsid w:val="002B129C"/>
    <w:rsid w:val="002B141C"/>
    <w:rsid w:val="002B141E"/>
    <w:rsid w:val="002B14E6"/>
    <w:rsid w:val="002B181C"/>
    <w:rsid w:val="002B183F"/>
    <w:rsid w:val="002B189B"/>
    <w:rsid w:val="002B1A6D"/>
    <w:rsid w:val="002B1B7F"/>
    <w:rsid w:val="002B1C78"/>
    <w:rsid w:val="002B1E88"/>
    <w:rsid w:val="002B1FC0"/>
    <w:rsid w:val="002B2347"/>
    <w:rsid w:val="002B29D6"/>
    <w:rsid w:val="002B2B25"/>
    <w:rsid w:val="002B2B74"/>
    <w:rsid w:val="002B2DA2"/>
    <w:rsid w:val="002B2F4D"/>
    <w:rsid w:val="002B32AF"/>
    <w:rsid w:val="002B3CB6"/>
    <w:rsid w:val="002B3F3B"/>
    <w:rsid w:val="002B492E"/>
    <w:rsid w:val="002B4AC3"/>
    <w:rsid w:val="002B4B62"/>
    <w:rsid w:val="002B4C95"/>
    <w:rsid w:val="002B4D2E"/>
    <w:rsid w:val="002B521A"/>
    <w:rsid w:val="002B5286"/>
    <w:rsid w:val="002B52E5"/>
    <w:rsid w:val="002B5A66"/>
    <w:rsid w:val="002B62B1"/>
    <w:rsid w:val="002B64BC"/>
    <w:rsid w:val="002B6576"/>
    <w:rsid w:val="002B661D"/>
    <w:rsid w:val="002B6658"/>
    <w:rsid w:val="002B6704"/>
    <w:rsid w:val="002B6719"/>
    <w:rsid w:val="002B6727"/>
    <w:rsid w:val="002B67D0"/>
    <w:rsid w:val="002B6B20"/>
    <w:rsid w:val="002B6D47"/>
    <w:rsid w:val="002B6E5B"/>
    <w:rsid w:val="002B72F0"/>
    <w:rsid w:val="002B7500"/>
    <w:rsid w:val="002B753E"/>
    <w:rsid w:val="002B7A16"/>
    <w:rsid w:val="002B7A7E"/>
    <w:rsid w:val="002B7BF5"/>
    <w:rsid w:val="002B7C2B"/>
    <w:rsid w:val="002B7CC8"/>
    <w:rsid w:val="002B7F87"/>
    <w:rsid w:val="002C0005"/>
    <w:rsid w:val="002C00EE"/>
    <w:rsid w:val="002C0178"/>
    <w:rsid w:val="002C0254"/>
    <w:rsid w:val="002C0BB8"/>
    <w:rsid w:val="002C0C98"/>
    <w:rsid w:val="002C0EB3"/>
    <w:rsid w:val="002C11E0"/>
    <w:rsid w:val="002C1329"/>
    <w:rsid w:val="002C1384"/>
    <w:rsid w:val="002C1A7B"/>
    <w:rsid w:val="002C1BB6"/>
    <w:rsid w:val="002C1C60"/>
    <w:rsid w:val="002C1D1B"/>
    <w:rsid w:val="002C206B"/>
    <w:rsid w:val="002C2625"/>
    <w:rsid w:val="002C270A"/>
    <w:rsid w:val="002C286A"/>
    <w:rsid w:val="002C2A5B"/>
    <w:rsid w:val="002C2CEA"/>
    <w:rsid w:val="002C332C"/>
    <w:rsid w:val="002C3B95"/>
    <w:rsid w:val="002C3C4E"/>
    <w:rsid w:val="002C3D77"/>
    <w:rsid w:val="002C3E5C"/>
    <w:rsid w:val="002C3EA4"/>
    <w:rsid w:val="002C3F03"/>
    <w:rsid w:val="002C424E"/>
    <w:rsid w:val="002C44CB"/>
    <w:rsid w:val="002C44D0"/>
    <w:rsid w:val="002C48B9"/>
    <w:rsid w:val="002C48FA"/>
    <w:rsid w:val="002C4AFB"/>
    <w:rsid w:val="002C4EE8"/>
    <w:rsid w:val="002C5095"/>
    <w:rsid w:val="002C5735"/>
    <w:rsid w:val="002C5741"/>
    <w:rsid w:val="002C5B95"/>
    <w:rsid w:val="002C5FE4"/>
    <w:rsid w:val="002C62BF"/>
    <w:rsid w:val="002C6624"/>
    <w:rsid w:val="002C6AC8"/>
    <w:rsid w:val="002C6ED5"/>
    <w:rsid w:val="002C71A7"/>
    <w:rsid w:val="002C7690"/>
    <w:rsid w:val="002C7781"/>
    <w:rsid w:val="002C78A0"/>
    <w:rsid w:val="002C78CB"/>
    <w:rsid w:val="002C78D5"/>
    <w:rsid w:val="002C7CDF"/>
    <w:rsid w:val="002C7D5E"/>
    <w:rsid w:val="002D068B"/>
    <w:rsid w:val="002D0BD9"/>
    <w:rsid w:val="002D118C"/>
    <w:rsid w:val="002D12B2"/>
    <w:rsid w:val="002D1330"/>
    <w:rsid w:val="002D137A"/>
    <w:rsid w:val="002D15FB"/>
    <w:rsid w:val="002D1671"/>
    <w:rsid w:val="002D2019"/>
    <w:rsid w:val="002D2132"/>
    <w:rsid w:val="002D216B"/>
    <w:rsid w:val="002D247C"/>
    <w:rsid w:val="002D278E"/>
    <w:rsid w:val="002D27DA"/>
    <w:rsid w:val="002D2D5E"/>
    <w:rsid w:val="002D33B5"/>
    <w:rsid w:val="002D340A"/>
    <w:rsid w:val="002D35D5"/>
    <w:rsid w:val="002D367F"/>
    <w:rsid w:val="002D3A47"/>
    <w:rsid w:val="002D3AEB"/>
    <w:rsid w:val="002D3C1B"/>
    <w:rsid w:val="002D3CA4"/>
    <w:rsid w:val="002D4027"/>
    <w:rsid w:val="002D414A"/>
    <w:rsid w:val="002D416C"/>
    <w:rsid w:val="002D4728"/>
    <w:rsid w:val="002D4BD5"/>
    <w:rsid w:val="002D4E9B"/>
    <w:rsid w:val="002D5041"/>
    <w:rsid w:val="002D513C"/>
    <w:rsid w:val="002D5473"/>
    <w:rsid w:val="002D56CA"/>
    <w:rsid w:val="002D5DC0"/>
    <w:rsid w:val="002D5E60"/>
    <w:rsid w:val="002D5F0B"/>
    <w:rsid w:val="002D61F5"/>
    <w:rsid w:val="002D6472"/>
    <w:rsid w:val="002D6954"/>
    <w:rsid w:val="002D6A8C"/>
    <w:rsid w:val="002D6AAA"/>
    <w:rsid w:val="002D6BA9"/>
    <w:rsid w:val="002D6C9F"/>
    <w:rsid w:val="002D7236"/>
    <w:rsid w:val="002D78F9"/>
    <w:rsid w:val="002D7ECC"/>
    <w:rsid w:val="002E0115"/>
    <w:rsid w:val="002E03B5"/>
    <w:rsid w:val="002E0466"/>
    <w:rsid w:val="002E05C0"/>
    <w:rsid w:val="002E0F57"/>
    <w:rsid w:val="002E113C"/>
    <w:rsid w:val="002E1394"/>
    <w:rsid w:val="002E15A3"/>
    <w:rsid w:val="002E1E71"/>
    <w:rsid w:val="002E1F2E"/>
    <w:rsid w:val="002E2047"/>
    <w:rsid w:val="002E20E9"/>
    <w:rsid w:val="002E21E9"/>
    <w:rsid w:val="002E270A"/>
    <w:rsid w:val="002E2769"/>
    <w:rsid w:val="002E2A3C"/>
    <w:rsid w:val="002E2D69"/>
    <w:rsid w:val="002E2E3C"/>
    <w:rsid w:val="002E3284"/>
    <w:rsid w:val="002E335A"/>
    <w:rsid w:val="002E3C59"/>
    <w:rsid w:val="002E3DA0"/>
    <w:rsid w:val="002E3E6D"/>
    <w:rsid w:val="002E4220"/>
    <w:rsid w:val="002E4231"/>
    <w:rsid w:val="002E4282"/>
    <w:rsid w:val="002E42A5"/>
    <w:rsid w:val="002E4539"/>
    <w:rsid w:val="002E46B9"/>
    <w:rsid w:val="002E4730"/>
    <w:rsid w:val="002E499B"/>
    <w:rsid w:val="002E51A9"/>
    <w:rsid w:val="002E522A"/>
    <w:rsid w:val="002E59E3"/>
    <w:rsid w:val="002E5AEE"/>
    <w:rsid w:val="002E5B11"/>
    <w:rsid w:val="002E5B73"/>
    <w:rsid w:val="002E5BB1"/>
    <w:rsid w:val="002E5D9D"/>
    <w:rsid w:val="002E5F43"/>
    <w:rsid w:val="002E622A"/>
    <w:rsid w:val="002E65E6"/>
    <w:rsid w:val="002E66BD"/>
    <w:rsid w:val="002E70A4"/>
    <w:rsid w:val="002E7379"/>
    <w:rsid w:val="002E74C4"/>
    <w:rsid w:val="002E7566"/>
    <w:rsid w:val="002E768A"/>
    <w:rsid w:val="002E77C5"/>
    <w:rsid w:val="002E7B39"/>
    <w:rsid w:val="002E7EE5"/>
    <w:rsid w:val="002E7F35"/>
    <w:rsid w:val="002E7F9F"/>
    <w:rsid w:val="002F0062"/>
    <w:rsid w:val="002F00B7"/>
    <w:rsid w:val="002F00D2"/>
    <w:rsid w:val="002F0404"/>
    <w:rsid w:val="002F0523"/>
    <w:rsid w:val="002F082B"/>
    <w:rsid w:val="002F0C65"/>
    <w:rsid w:val="002F0EB0"/>
    <w:rsid w:val="002F0EBD"/>
    <w:rsid w:val="002F0FC9"/>
    <w:rsid w:val="002F11E9"/>
    <w:rsid w:val="002F14E0"/>
    <w:rsid w:val="002F15C1"/>
    <w:rsid w:val="002F179C"/>
    <w:rsid w:val="002F197E"/>
    <w:rsid w:val="002F1BFC"/>
    <w:rsid w:val="002F1E08"/>
    <w:rsid w:val="002F1EEE"/>
    <w:rsid w:val="002F2344"/>
    <w:rsid w:val="002F2618"/>
    <w:rsid w:val="002F292B"/>
    <w:rsid w:val="002F2E11"/>
    <w:rsid w:val="002F3103"/>
    <w:rsid w:val="002F318F"/>
    <w:rsid w:val="002F31EE"/>
    <w:rsid w:val="002F3380"/>
    <w:rsid w:val="002F3A35"/>
    <w:rsid w:val="002F3D78"/>
    <w:rsid w:val="002F3DE9"/>
    <w:rsid w:val="002F3EB7"/>
    <w:rsid w:val="002F433D"/>
    <w:rsid w:val="002F433F"/>
    <w:rsid w:val="002F44A0"/>
    <w:rsid w:val="002F4E3F"/>
    <w:rsid w:val="002F4ED2"/>
    <w:rsid w:val="002F5738"/>
    <w:rsid w:val="002F57BA"/>
    <w:rsid w:val="002F59C1"/>
    <w:rsid w:val="002F59C7"/>
    <w:rsid w:val="002F5CC8"/>
    <w:rsid w:val="002F5CF7"/>
    <w:rsid w:val="002F5E3A"/>
    <w:rsid w:val="002F6234"/>
    <w:rsid w:val="002F6641"/>
    <w:rsid w:val="002F6946"/>
    <w:rsid w:val="002F6B08"/>
    <w:rsid w:val="002F6C89"/>
    <w:rsid w:val="002F6D47"/>
    <w:rsid w:val="002F6D9F"/>
    <w:rsid w:val="002F7065"/>
    <w:rsid w:val="002F709E"/>
    <w:rsid w:val="002F72CE"/>
    <w:rsid w:val="00300327"/>
    <w:rsid w:val="00300450"/>
    <w:rsid w:val="00300584"/>
    <w:rsid w:val="00300A73"/>
    <w:rsid w:val="00300FC5"/>
    <w:rsid w:val="00301632"/>
    <w:rsid w:val="003018EA"/>
    <w:rsid w:val="00301926"/>
    <w:rsid w:val="00301C3D"/>
    <w:rsid w:val="00302078"/>
    <w:rsid w:val="00302921"/>
    <w:rsid w:val="00302B35"/>
    <w:rsid w:val="00302C1A"/>
    <w:rsid w:val="00303514"/>
    <w:rsid w:val="003036DC"/>
    <w:rsid w:val="00303C82"/>
    <w:rsid w:val="00303FDA"/>
    <w:rsid w:val="003044F5"/>
    <w:rsid w:val="003045F0"/>
    <w:rsid w:val="00304695"/>
    <w:rsid w:val="003046FD"/>
    <w:rsid w:val="00304B66"/>
    <w:rsid w:val="00305173"/>
    <w:rsid w:val="00305681"/>
    <w:rsid w:val="00305777"/>
    <w:rsid w:val="00305B0E"/>
    <w:rsid w:val="00305B7E"/>
    <w:rsid w:val="00305F96"/>
    <w:rsid w:val="00306028"/>
    <w:rsid w:val="00306401"/>
    <w:rsid w:val="00306538"/>
    <w:rsid w:val="00306557"/>
    <w:rsid w:val="0030691B"/>
    <w:rsid w:val="00306CD0"/>
    <w:rsid w:val="00307314"/>
    <w:rsid w:val="0030735B"/>
    <w:rsid w:val="00307462"/>
    <w:rsid w:val="0030746D"/>
    <w:rsid w:val="00307518"/>
    <w:rsid w:val="00307FE4"/>
    <w:rsid w:val="00310057"/>
    <w:rsid w:val="003102D6"/>
    <w:rsid w:val="00310906"/>
    <w:rsid w:val="00310B3B"/>
    <w:rsid w:val="0031146A"/>
    <w:rsid w:val="003118B0"/>
    <w:rsid w:val="00311DE7"/>
    <w:rsid w:val="00312052"/>
    <w:rsid w:val="00312295"/>
    <w:rsid w:val="003122B8"/>
    <w:rsid w:val="00312400"/>
    <w:rsid w:val="0031241C"/>
    <w:rsid w:val="003124C6"/>
    <w:rsid w:val="0031253A"/>
    <w:rsid w:val="0031288D"/>
    <w:rsid w:val="00312DFB"/>
    <w:rsid w:val="00312FA0"/>
    <w:rsid w:val="00313ADF"/>
    <w:rsid w:val="00313B21"/>
    <w:rsid w:val="00313BB2"/>
    <w:rsid w:val="00313CFF"/>
    <w:rsid w:val="00313F72"/>
    <w:rsid w:val="00313F96"/>
    <w:rsid w:val="003141BE"/>
    <w:rsid w:val="0031452B"/>
    <w:rsid w:val="00314D73"/>
    <w:rsid w:val="00314E2D"/>
    <w:rsid w:val="00314F16"/>
    <w:rsid w:val="003155C8"/>
    <w:rsid w:val="00315739"/>
    <w:rsid w:val="003157EB"/>
    <w:rsid w:val="003159A6"/>
    <w:rsid w:val="00315AD5"/>
    <w:rsid w:val="00315B27"/>
    <w:rsid w:val="00315E66"/>
    <w:rsid w:val="0031629B"/>
    <w:rsid w:val="0031634C"/>
    <w:rsid w:val="0031696E"/>
    <w:rsid w:val="00316BF7"/>
    <w:rsid w:val="00316C3D"/>
    <w:rsid w:val="00316D09"/>
    <w:rsid w:val="00316ECD"/>
    <w:rsid w:val="0031704A"/>
    <w:rsid w:val="003170A7"/>
    <w:rsid w:val="003171CD"/>
    <w:rsid w:val="003173D2"/>
    <w:rsid w:val="003173FC"/>
    <w:rsid w:val="00317452"/>
    <w:rsid w:val="0031747B"/>
    <w:rsid w:val="003177AA"/>
    <w:rsid w:val="003178E7"/>
    <w:rsid w:val="00317BA0"/>
    <w:rsid w:val="00317C85"/>
    <w:rsid w:val="003207B9"/>
    <w:rsid w:val="00320B87"/>
    <w:rsid w:val="00320DAC"/>
    <w:rsid w:val="00321073"/>
    <w:rsid w:val="003211B3"/>
    <w:rsid w:val="00321FBD"/>
    <w:rsid w:val="0032211D"/>
    <w:rsid w:val="00322286"/>
    <w:rsid w:val="003226E7"/>
    <w:rsid w:val="00322952"/>
    <w:rsid w:val="00322ACD"/>
    <w:rsid w:val="00322C72"/>
    <w:rsid w:val="00322FB5"/>
    <w:rsid w:val="00323316"/>
    <w:rsid w:val="003235AD"/>
    <w:rsid w:val="00323BF8"/>
    <w:rsid w:val="00323C5B"/>
    <w:rsid w:val="00323E5E"/>
    <w:rsid w:val="00324087"/>
    <w:rsid w:val="003240FA"/>
    <w:rsid w:val="00324A0C"/>
    <w:rsid w:val="00325AE8"/>
    <w:rsid w:val="00325B21"/>
    <w:rsid w:val="00325C5B"/>
    <w:rsid w:val="00325CFF"/>
    <w:rsid w:val="00326353"/>
    <w:rsid w:val="0032636D"/>
    <w:rsid w:val="00326507"/>
    <w:rsid w:val="00326596"/>
    <w:rsid w:val="003268D4"/>
    <w:rsid w:val="00326965"/>
    <w:rsid w:val="00326B13"/>
    <w:rsid w:val="00326FD8"/>
    <w:rsid w:val="00327224"/>
    <w:rsid w:val="00327466"/>
    <w:rsid w:val="003274A1"/>
    <w:rsid w:val="0032753C"/>
    <w:rsid w:val="003275D3"/>
    <w:rsid w:val="00327749"/>
    <w:rsid w:val="00327B38"/>
    <w:rsid w:val="0033046B"/>
    <w:rsid w:val="00330A65"/>
    <w:rsid w:val="00330BF9"/>
    <w:rsid w:val="00330DF8"/>
    <w:rsid w:val="00330E6E"/>
    <w:rsid w:val="0033136E"/>
    <w:rsid w:val="00331563"/>
    <w:rsid w:val="003318A9"/>
    <w:rsid w:val="00331B98"/>
    <w:rsid w:val="00332312"/>
    <w:rsid w:val="0033244F"/>
    <w:rsid w:val="00332598"/>
    <w:rsid w:val="0033270C"/>
    <w:rsid w:val="00332BCA"/>
    <w:rsid w:val="00332BEC"/>
    <w:rsid w:val="00332E21"/>
    <w:rsid w:val="003333EA"/>
    <w:rsid w:val="003334D7"/>
    <w:rsid w:val="003336CC"/>
    <w:rsid w:val="00333834"/>
    <w:rsid w:val="0033386C"/>
    <w:rsid w:val="00333BE5"/>
    <w:rsid w:val="00333F8C"/>
    <w:rsid w:val="00334683"/>
    <w:rsid w:val="00334969"/>
    <w:rsid w:val="00334B83"/>
    <w:rsid w:val="00334DEB"/>
    <w:rsid w:val="00334FB8"/>
    <w:rsid w:val="0033514B"/>
    <w:rsid w:val="00335208"/>
    <w:rsid w:val="00335273"/>
    <w:rsid w:val="003356D5"/>
    <w:rsid w:val="00335837"/>
    <w:rsid w:val="003358A3"/>
    <w:rsid w:val="00335A47"/>
    <w:rsid w:val="00335C2E"/>
    <w:rsid w:val="00335C3F"/>
    <w:rsid w:val="003361E0"/>
    <w:rsid w:val="00336614"/>
    <w:rsid w:val="00336A1F"/>
    <w:rsid w:val="00336E21"/>
    <w:rsid w:val="00336FA6"/>
    <w:rsid w:val="00337110"/>
    <w:rsid w:val="0033738F"/>
    <w:rsid w:val="0033760B"/>
    <w:rsid w:val="00337861"/>
    <w:rsid w:val="00337CBC"/>
    <w:rsid w:val="00340286"/>
    <w:rsid w:val="00340298"/>
    <w:rsid w:val="003402AC"/>
    <w:rsid w:val="003408DF"/>
    <w:rsid w:val="00340B6B"/>
    <w:rsid w:val="00340CD3"/>
    <w:rsid w:val="00340ECB"/>
    <w:rsid w:val="00341020"/>
    <w:rsid w:val="0034132C"/>
    <w:rsid w:val="003413C1"/>
    <w:rsid w:val="00341643"/>
    <w:rsid w:val="00341BC5"/>
    <w:rsid w:val="00341DD8"/>
    <w:rsid w:val="00341F55"/>
    <w:rsid w:val="00341FAC"/>
    <w:rsid w:val="00342055"/>
    <w:rsid w:val="003422F0"/>
    <w:rsid w:val="00342673"/>
    <w:rsid w:val="003427B8"/>
    <w:rsid w:val="003428DD"/>
    <w:rsid w:val="00342B4A"/>
    <w:rsid w:val="0034379E"/>
    <w:rsid w:val="00343C50"/>
    <w:rsid w:val="00343D64"/>
    <w:rsid w:val="00343F05"/>
    <w:rsid w:val="0034433D"/>
    <w:rsid w:val="00344552"/>
    <w:rsid w:val="003445B7"/>
    <w:rsid w:val="003445C2"/>
    <w:rsid w:val="00344709"/>
    <w:rsid w:val="00344D40"/>
    <w:rsid w:val="00345189"/>
    <w:rsid w:val="00345800"/>
    <w:rsid w:val="00345D17"/>
    <w:rsid w:val="0034644B"/>
    <w:rsid w:val="003464A8"/>
    <w:rsid w:val="00346874"/>
    <w:rsid w:val="00346E89"/>
    <w:rsid w:val="00346F7D"/>
    <w:rsid w:val="003470DE"/>
    <w:rsid w:val="003475CB"/>
    <w:rsid w:val="0034779B"/>
    <w:rsid w:val="00347930"/>
    <w:rsid w:val="00347991"/>
    <w:rsid w:val="00347E53"/>
    <w:rsid w:val="00350026"/>
    <w:rsid w:val="003501E9"/>
    <w:rsid w:val="00350207"/>
    <w:rsid w:val="0035084D"/>
    <w:rsid w:val="00350B81"/>
    <w:rsid w:val="00350E0A"/>
    <w:rsid w:val="00351147"/>
    <w:rsid w:val="003512F3"/>
    <w:rsid w:val="0035135A"/>
    <w:rsid w:val="0035145C"/>
    <w:rsid w:val="00352301"/>
    <w:rsid w:val="0035252D"/>
    <w:rsid w:val="00352689"/>
    <w:rsid w:val="00352701"/>
    <w:rsid w:val="00352903"/>
    <w:rsid w:val="0035298C"/>
    <w:rsid w:val="0035298E"/>
    <w:rsid w:val="00352A2C"/>
    <w:rsid w:val="00353073"/>
    <w:rsid w:val="00353631"/>
    <w:rsid w:val="0035382B"/>
    <w:rsid w:val="003538A8"/>
    <w:rsid w:val="003538CC"/>
    <w:rsid w:val="00353A25"/>
    <w:rsid w:val="00353BCF"/>
    <w:rsid w:val="00353EBD"/>
    <w:rsid w:val="0035485D"/>
    <w:rsid w:val="00354BA2"/>
    <w:rsid w:val="00354BB5"/>
    <w:rsid w:val="00354FD3"/>
    <w:rsid w:val="00355002"/>
    <w:rsid w:val="003556D1"/>
    <w:rsid w:val="00355869"/>
    <w:rsid w:val="00355915"/>
    <w:rsid w:val="00355B13"/>
    <w:rsid w:val="00355BCC"/>
    <w:rsid w:val="00355DDD"/>
    <w:rsid w:val="00355E8A"/>
    <w:rsid w:val="00356308"/>
    <w:rsid w:val="00356381"/>
    <w:rsid w:val="003565FD"/>
    <w:rsid w:val="00356650"/>
    <w:rsid w:val="00356FB1"/>
    <w:rsid w:val="00357149"/>
    <w:rsid w:val="00357244"/>
    <w:rsid w:val="00357404"/>
    <w:rsid w:val="0035742A"/>
    <w:rsid w:val="00357AE8"/>
    <w:rsid w:val="00357C25"/>
    <w:rsid w:val="00357DB5"/>
    <w:rsid w:val="00360441"/>
    <w:rsid w:val="003607F4"/>
    <w:rsid w:val="0036098C"/>
    <w:rsid w:val="00360E72"/>
    <w:rsid w:val="00361149"/>
    <w:rsid w:val="00361274"/>
    <w:rsid w:val="00361898"/>
    <w:rsid w:val="00361940"/>
    <w:rsid w:val="00362016"/>
    <w:rsid w:val="0036303F"/>
    <w:rsid w:val="00363167"/>
    <w:rsid w:val="00363192"/>
    <w:rsid w:val="0036352A"/>
    <w:rsid w:val="0036354E"/>
    <w:rsid w:val="003636A9"/>
    <w:rsid w:val="00363A7A"/>
    <w:rsid w:val="0036410F"/>
    <w:rsid w:val="0036435D"/>
    <w:rsid w:val="00364543"/>
    <w:rsid w:val="0036462D"/>
    <w:rsid w:val="00364A17"/>
    <w:rsid w:val="00364AEB"/>
    <w:rsid w:val="00365978"/>
    <w:rsid w:val="00365A82"/>
    <w:rsid w:val="00365CDD"/>
    <w:rsid w:val="0036674E"/>
    <w:rsid w:val="003668F2"/>
    <w:rsid w:val="0036695B"/>
    <w:rsid w:val="0036698D"/>
    <w:rsid w:val="00366A68"/>
    <w:rsid w:val="00366A8C"/>
    <w:rsid w:val="00366B1D"/>
    <w:rsid w:val="00367285"/>
    <w:rsid w:val="003672EF"/>
    <w:rsid w:val="00367410"/>
    <w:rsid w:val="0036776D"/>
    <w:rsid w:val="00370762"/>
    <w:rsid w:val="00370F65"/>
    <w:rsid w:val="0037137E"/>
    <w:rsid w:val="0037183C"/>
    <w:rsid w:val="00371867"/>
    <w:rsid w:val="00371BFE"/>
    <w:rsid w:val="0037246C"/>
    <w:rsid w:val="0037260C"/>
    <w:rsid w:val="0037271C"/>
    <w:rsid w:val="003728FE"/>
    <w:rsid w:val="003729A3"/>
    <w:rsid w:val="00372B99"/>
    <w:rsid w:val="00372E0D"/>
    <w:rsid w:val="0037328E"/>
    <w:rsid w:val="0037328F"/>
    <w:rsid w:val="00373D0A"/>
    <w:rsid w:val="00374382"/>
    <w:rsid w:val="0037466E"/>
    <w:rsid w:val="0037467C"/>
    <w:rsid w:val="00374783"/>
    <w:rsid w:val="00374883"/>
    <w:rsid w:val="0037491F"/>
    <w:rsid w:val="00374DF0"/>
    <w:rsid w:val="003755FA"/>
    <w:rsid w:val="003756FE"/>
    <w:rsid w:val="00375A19"/>
    <w:rsid w:val="00375A6C"/>
    <w:rsid w:val="003762AC"/>
    <w:rsid w:val="003764F8"/>
    <w:rsid w:val="00376656"/>
    <w:rsid w:val="003769C1"/>
    <w:rsid w:val="00376D69"/>
    <w:rsid w:val="00376ED0"/>
    <w:rsid w:val="00377271"/>
    <w:rsid w:val="0037760E"/>
    <w:rsid w:val="00377A42"/>
    <w:rsid w:val="00377CD0"/>
    <w:rsid w:val="00377CE9"/>
    <w:rsid w:val="00377E9A"/>
    <w:rsid w:val="003804C0"/>
    <w:rsid w:val="00380609"/>
    <w:rsid w:val="00380F46"/>
    <w:rsid w:val="0038119A"/>
    <w:rsid w:val="003811B3"/>
    <w:rsid w:val="00381B6C"/>
    <w:rsid w:val="00381DC6"/>
    <w:rsid w:val="00381F59"/>
    <w:rsid w:val="00382A41"/>
    <w:rsid w:val="003837E4"/>
    <w:rsid w:val="00383943"/>
    <w:rsid w:val="00383C3E"/>
    <w:rsid w:val="00383D20"/>
    <w:rsid w:val="00384464"/>
    <w:rsid w:val="00384BFC"/>
    <w:rsid w:val="00384F58"/>
    <w:rsid w:val="0038503A"/>
    <w:rsid w:val="003856BA"/>
    <w:rsid w:val="00385998"/>
    <w:rsid w:val="00385A07"/>
    <w:rsid w:val="00385A1A"/>
    <w:rsid w:val="00385B2E"/>
    <w:rsid w:val="00385D2F"/>
    <w:rsid w:val="00385EEE"/>
    <w:rsid w:val="00385F9E"/>
    <w:rsid w:val="00386021"/>
    <w:rsid w:val="00386147"/>
    <w:rsid w:val="0038692C"/>
    <w:rsid w:val="00386F94"/>
    <w:rsid w:val="00387019"/>
    <w:rsid w:val="00387534"/>
    <w:rsid w:val="00387C8A"/>
    <w:rsid w:val="003906DE"/>
    <w:rsid w:val="0039083A"/>
    <w:rsid w:val="003909D5"/>
    <w:rsid w:val="00390BCA"/>
    <w:rsid w:val="00390C87"/>
    <w:rsid w:val="00391077"/>
    <w:rsid w:val="00391275"/>
    <w:rsid w:val="003913FB"/>
    <w:rsid w:val="0039149F"/>
    <w:rsid w:val="003915EE"/>
    <w:rsid w:val="0039199F"/>
    <w:rsid w:val="00391D0A"/>
    <w:rsid w:val="00391E49"/>
    <w:rsid w:val="00391E81"/>
    <w:rsid w:val="003924DD"/>
    <w:rsid w:val="00392938"/>
    <w:rsid w:val="00392B2D"/>
    <w:rsid w:val="00392DFF"/>
    <w:rsid w:val="00393728"/>
    <w:rsid w:val="003937D5"/>
    <w:rsid w:val="0039383A"/>
    <w:rsid w:val="00393AE8"/>
    <w:rsid w:val="00393C75"/>
    <w:rsid w:val="00393E1F"/>
    <w:rsid w:val="00393EF6"/>
    <w:rsid w:val="00394022"/>
    <w:rsid w:val="00394053"/>
    <w:rsid w:val="003940F6"/>
    <w:rsid w:val="003944BB"/>
    <w:rsid w:val="003945FD"/>
    <w:rsid w:val="00394CB7"/>
    <w:rsid w:val="00394D2E"/>
    <w:rsid w:val="0039504E"/>
    <w:rsid w:val="0039507D"/>
    <w:rsid w:val="003950F3"/>
    <w:rsid w:val="003951C6"/>
    <w:rsid w:val="003961B7"/>
    <w:rsid w:val="00396A8E"/>
    <w:rsid w:val="00396AE7"/>
    <w:rsid w:val="003976E6"/>
    <w:rsid w:val="00397B50"/>
    <w:rsid w:val="003A0084"/>
    <w:rsid w:val="003A019B"/>
    <w:rsid w:val="003A0235"/>
    <w:rsid w:val="003A0A17"/>
    <w:rsid w:val="003A1356"/>
    <w:rsid w:val="003A17CD"/>
    <w:rsid w:val="003A1C17"/>
    <w:rsid w:val="003A1E8D"/>
    <w:rsid w:val="003A23A8"/>
    <w:rsid w:val="003A2575"/>
    <w:rsid w:val="003A2678"/>
    <w:rsid w:val="003A2749"/>
    <w:rsid w:val="003A31C0"/>
    <w:rsid w:val="003A32A0"/>
    <w:rsid w:val="003A3353"/>
    <w:rsid w:val="003A3799"/>
    <w:rsid w:val="003A3E61"/>
    <w:rsid w:val="003A3FA5"/>
    <w:rsid w:val="003A3FF3"/>
    <w:rsid w:val="003A41B9"/>
    <w:rsid w:val="003A4639"/>
    <w:rsid w:val="003A4A2F"/>
    <w:rsid w:val="003A4CF6"/>
    <w:rsid w:val="003A4D0A"/>
    <w:rsid w:val="003A504B"/>
    <w:rsid w:val="003A541E"/>
    <w:rsid w:val="003A597D"/>
    <w:rsid w:val="003A5A73"/>
    <w:rsid w:val="003A6523"/>
    <w:rsid w:val="003A6939"/>
    <w:rsid w:val="003A6E11"/>
    <w:rsid w:val="003A6E90"/>
    <w:rsid w:val="003A70F7"/>
    <w:rsid w:val="003A7564"/>
    <w:rsid w:val="003A763D"/>
    <w:rsid w:val="003A7678"/>
    <w:rsid w:val="003A77A1"/>
    <w:rsid w:val="003A7E3F"/>
    <w:rsid w:val="003A7FFC"/>
    <w:rsid w:val="003B0352"/>
    <w:rsid w:val="003B057B"/>
    <w:rsid w:val="003B0791"/>
    <w:rsid w:val="003B1295"/>
    <w:rsid w:val="003B134E"/>
    <w:rsid w:val="003B151F"/>
    <w:rsid w:val="003B154F"/>
    <w:rsid w:val="003B1827"/>
    <w:rsid w:val="003B1A04"/>
    <w:rsid w:val="003B1A9C"/>
    <w:rsid w:val="003B203C"/>
    <w:rsid w:val="003B227B"/>
    <w:rsid w:val="003B2707"/>
    <w:rsid w:val="003B3656"/>
    <w:rsid w:val="003B38A6"/>
    <w:rsid w:val="003B3A5D"/>
    <w:rsid w:val="003B3C45"/>
    <w:rsid w:val="003B3CF7"/>
    <w:rsid w:val="003B46F7"/>
    <w:rsid w:val="003B4728"/>
    <w:rsid w:val="003B485D"/>
    <w:rsid w:val="003B4991"/>
    <w:rsid w:val="003B4BE3"/>
    <w:rsid w:val="003B4C86"/>
    <w:rsid w:val="003B5194"/>
    <w:rsid w:val="003B58E3"/>
    <w:rsid w:val="003B5B8E"/>
    <w:rsid w:val="003B5E7F"/>
    <w:rsid w:val="003B6393"/>
    <w:rsid w:val="003B65F4"/>
    <w:rsid w:val="003B6733"/>
    <w:rsid w:val="003B6909"/>
    <w:rsid w:val="003B6CB2"/>
    <w:rsid w:val="003B6D53"/>
    <w:rsid w:val="003B6D8F"/>
    <w:rsid w:val="003B6DB6"/>
    <w:rsid w:val="003B6F53"/>
    <w:rsid w:val="003B70B7"/>
    <w:rsid w:val="003B7379"/>
    <w:rsid w:val="003B7382"/>
    <w:rsid w:val="003B742A"/>
    <w:rsid w:val="003B7CB5"/>
    <w:rsid w:val="003B7D81"/>
    <w:rsid w:val="003B7DFE"/>
    <w:rsid w:val="003C00B4"/>
    <w:rsid w:val="003C0228"/>
    <w:rsid w:val="003C0569"/>
    <w:rsid w:val="003C0C2C"/>
    <w:rsid w:val="003C0C62"/>
    <w:rsid w:val="003C0D5C"/>
    <w:rsid w:val="003C130B"/>
    <w:rsid w:val="003C1468"/>
    <w:rsid w:val="003C14C3"/>
    <w:rsid w:val="003C19A2"/>
    <w:rsid w:val="003C1C06"/>
    <w:rsid w:val="003C1FD0"/>
    <w:rsid w:val="003C2112"/>
    <w:rsid w:val="003C22DF"/>
    <w:rsid w:val="003C22F3"/>
    <w:rsid w:val="003C25A4"/>
    <w:rsid w:val="003C2BEA"/>
    <w:rsid w:val="003C30D0"/>
    <w:rsid w:val="003C33D3"/>
    <w:rsid w:val="003C3500"/>
    <w:rsid w:val="003C3732"/>
    <w:rsid w:val="003C3770"/>
    <w:rsid w:val="003C3BD7"/>
    <w:rsid w:val="003C3C60"/>
    <w:rsid w:val="003C3D45"/>
    <w:rsid w:val="003C4321"/>
    <w:rsid w:val="003C4718"/>
    <w:rsid w:val="003C48A1"/>
    <w:rsid w:val="003C4ABB"/>
    <w:rsid w:val="003C5207"/>
    <w:rsid w:val="003C5233"/>
    <w:rsid w:val="003C5483"/>
    <w:rsid w:val="003C54D4"/>
    <w:rsid w:val="003C567F"/>
    <w:rsid w:val="003C59CB"/>
    <w:rsid w:val="003C59DC"/>
    <w:rsid w:val="003C5DAE"/>
    <w:rsid w:val="003C6194"/>
    <w:rsid w:val="003C61FC"/>
    <w:rsid w:val="003C628A"/>
    <w:rsid w:val="003C63ED"/>
    <w:rsid w:val="003C6C35"/>
    <w:rsid w:val="003C6EA2"/>
    <w:rsid w:val="003C6F2E"/>
    <w:rsid w:val="003C6F90"/>
    <w:rsid w:val="003C72ED"/>
    <w:rsid w:val="003C78DD"/>
    <w:rsid w:val="003C7F1C"/>
    <w:rsid w:val="003C7F69"/>
    <w:rsid w:val="003D026D"/>
    <w:rsid w:val="003D09B1"/>
    <w:rsid w:val="003D09B3"/>
    <w:rsid w:val="003D0A87"/>
    <w:rsid w:val="003D0A9D"/>
    <w:rsid w:val="003D0CAC"/>
    <w:rsid w:val="003D0CCF"/>
    <w:rsid w:val="003D147D"/>
    <w:rsid w:val="003D16A7"/>
    <w:rsid w:val="003D18D3"/>
    <w:rsid w:val="003D18E3"/>
    <w:rsid w:val="003D1B6C"/>
    <w:rsid w:val="003D1BD9"/>
    <w:rsid w:val="003D239C"/>
    <w:rsid w:val="003D2620"/>
    <w:rsid w:val="003D2766"/>
    <w:rsid w:val="003D3A11"/>
    <w:rsid w:val="003D41DC"/>
    <w:rsid w:val="003D43E7"/>
    <w:rsid w:val="003D4574"/>
    <w:rsid w:val="003D4612"/>
    <w:rsid w:val="003D49D3"/>
    <w:rsid w:val="003D5116"/>
    <w:rsid w:val="003D52BA"/>
    <w:rsid w:val="003D54A3"/>
    <w:rsid w:val="003D59EC"/>
    <w:rsid w:val="003D5DB3"/>
    <w:rsid w:val="003D648E"/>
    <w:rsid w:val="003D676E"/>
    <w:rsid w:val="003D68FE"/>
    <w:rsid w:val="003D696C"/>
    <w:rsid w:val="003D6E4B"/>
    <w:rsid w:val="003D6E67"/>
    <w:rsid w:val="003D6FEF"/>
    <w:rsid w:val="003D7232"/>
    <w:rsid w:val="003D7624"/>
    <w:rsid w:val="003D76DD"/>
    <w:rsid w:val="003D7710"/>
    <w:rsid w:val="003D7752"/>
    <w:rsid w:val="003D7ABD"/>
    <w:rsid w:val="003D7DB2"/>
    <w:rsid w:val="003E03A0"/>
    <w:rsid w:val="003E0584"/>
    <w:rsid w:val="003E05C1"/>
    <w:rsid w:val="003E05C5"/>
    <w:rsid w:val="003E07FD"/>
    <w:rsid w:val="003E0C4D"/>
    <w:rsid w:val="003E0E91"/>
    <w:rsid w:val="003E1060"/>
    <w:rsid w:val="003E1A4C"/>
    <w:rsid w:val="003E1DCD"/>
    <w:rsid w:val="003E1E24"/>
    <w:rsid w:val="003E1E2A"/>
    <w:rsid w:val="003E1E70"/>
    <w:rsid w:val="003E21F2"/>
    <w:rsid w:val="003E27A8"/>
    <w:rsid w:val="003E2847"/>
    <w:rsid w:val="003E335A"/>
    <w:rsid w:val="003E42FC"/>
    <w:rsid w:val="003E45D2"/>
    <w:rsid w:val="003E485C"/>
    <w:rsid w:val="003E4912"/>
    <w:rsid w:val="003E4A29"/>
    <w:rsid w:val="003E4C07"/>
    <w:rsid w:val="003E52D8"/>
    <w:rsid w:val="003E59F6"/>
    <w:rsid w:val="003E5BDA"/>
    <w:rsid w:val="003E5C26"/>
    <w:rsid w:val="003E5F12"/>
    <w:rsid w:val="003E5F64"/>
    <w:rsid w:val="003E600E"/>
    <w:rsid w:val="003E6330"/>
    <w:rsid w:val="003E633C"/>
    <w:rsid w:val="003E6355"/>
    <w:rsid w:val="003E64B7"/>
    <w:rsid w:val="003E6819"/>
    <w:rsid w:val="003E689C"/>
    <w:rsid w:val="003E68B0"/>
    <w:rsid w:val="003E6A60"/>
    <w:rsid w:val="003E6D3F"/>
    <w:rsid w:val="003E6DE1"/>
    <w:rsid w:val="003E6FB7"/>
    <w:rsid w:val="003E736E"/>
    <w:rsid w:val="003E73BD"/>
    <w:rsid w:val="003E7660"/>
    <w:rsid w:val="003E7D7F"/>
    <w:rsid w:val="003E7F46"/>
    <w:rsid w:val="003E7F7B"/>
    <w:rsid w:val="003F0725"/>
    <w:rsid w:val="003F0858"/>
    <w:rsid w:val="003F0BE8"/>
    <w:rsid w:val="003F0D20"/>
    <w:rsid w:val="003F0E79"/>
    <w:rsid w:val="003F1217"/>
    <w:rsid w:val="003F12B3"/>
    <w:rsid w:val="003F13B4"/>
    <w:rsid w:val="003F1492"/>
    <w:rsid w:val="003F17E1"/>
    <w:rsid w:val="003F1A48"/>
    <w:rsid w:val="003F1E6D"/>
    <w:rsid w:val="003F1EB5"/>
    <w:rsid w:val="003F1EF4"/>
    <w:rsid w:val="003F215A"/>
    <w:rsid w:val="003F2370"/>
    <w:rsid w:val="003F255E"/>
    <w:rsid w:val="003F28BC"/>
    <w:rsid w:val="003F2AC7"/>
    <w:rsid w:val="003F2AD6"/>
    <w:rsid w:val="003F2C10"/>
    <w:rsid w:val="003F2DAB"/>
    <w:rsid w:val="003F2E12"/>
    <w:rsid w:val="003F2EF8"/>
    <w:rsid w:val="003F3001"/>
    <w:rsid w:val="003F36C5"/>
    <w:rsid w:val="003F383F"/>
    <w:rsid w:val="003F38B5"/>
    <w:rsid w:val="003F395F"/>
    <w:rsid w:val="003F3AFA"/>
    <w:rsid w:val="003F3B9C"/>
    <w:rsid w:val="003F3C0E"/>
    <w:rsid w:val="003F3D30"/>
    <w:rsid w:val="003F4519"/>
    <w:rsid w:val="003F4591"/>
    <w:rsid w:val="003F4987"/>
    <w:rsid w:val="003F49EF"/>
    <w:rsid w:val="003F4E93"/>
    <w:rsid w:val="003F52A2"/>
    <w:rsid w:val="003F5318"/>
    <w:rsid w:val="003F5375"/>
    <w:rsid w:val="003F56CC"/>
    <w:rsid w:val="003F5988"/>
    <w:rsid w:val="003F5B36"/>
    <w:rsid w:val="003F5D8A"/>
    <w:rsid w:val="003F6933"/>
    <w:rsid w:val="003F6CDA"/>
    <w:rsid w:val="003F6D54"/>
    <w:rsid w:val="003F72FD"/>
    <w:rsid w:val="003F7A6B"/>
    <w:rsid w:val="003F7F22"/>
    <w:rsid w:val="0040026C"/>
    <w:rsid w:val="00400BD9"/>
    <w:rsid w:val="00401113"/>
    <w:rsid w:val="00401573"/>
    <w:rsid w:val="004015A2"/>
    <w:rsid w:val="00401637"/>
    <w:rsid w:val="004017B4"/>
    <w:rsid w:val="00401881"/>
    <w:rsid w:val="00401A7B"/>
    <w:rsid w:val="00401D23"/>
    <w:rsid w:val="00401E79"/>
    <w:rsid w:val="00401F12"/>
    <w:rsid w:val="00402122"/>
    <w:rsid w:val="00402250"/>
    <w:rsid w:val="00402C9E"/>
    <w:rsid w:val="00402EC9"/>
    <w:rsid w:val="004030BC"/>
    <w:rsid w:val="00403181"/>
    <w:rsid w:val="0040324D"/>
    <w:rsid w:val="004034F0"/>
    <w:rsid w:val="004038E2"/>
    <w:rsid w:val="00403D9F"/>
    <w:rsid w:val="00403EC8"/>
    <w:rsid w:val="00404050"/>
    <w:rsid w:val="004044B7"/>
    <w:rsid w:val="004047CA"/>
    <w:rsid w:val="00404A89"/>
    <w:rsid w:val="00404DE6"/>
    <w:rsid w:val="00405067"/>
    <w:rsid w:val="00405077"/>
    <w:rsid w:val="00405256"/>
    <w:rsid w:val="00405318"/>
    <w:rsid w:val="00405453"/>
    <w:rsid w:val="004055E0"/>
    <w:rsid w:val="00405650"/>
    <w:rsid w:val="004056BF"/>
    <w:rsid w:val="004057A6"/>
    <w:rsid w:val="00405A09"/>
    <w:rsid w:val="00406199"/>
    <w:rsid w:val="00406345"/>
    <w:rsid w:val="00406D04"/>
    <w:rsid w:val="00406F15"/>
    <w:rsid w:val="00407102"/>
    <w:rsid w:val="0040729B"/>
    <w:rsid w:val="004072AA"/>
    <w:rsid w:val="00407459"/>
    <w:rsid w:val="004076F6"/>
    <w:rsid w:val="00407B5F"/>
    <w:rsid w:val="00407DCC"/>
    <w:rsid w:val="0041023B"/>
    <w:rsid w:val="0041051F"/>
    <w:rsid w:val="00410759"/>
    <w:rsid w:val="0041088E"/>
    <w:rsid w:val="00410D60"/>
    <w:rsid w:val="00411278"/>
    <w:rsid w:val="00411383"/>
    <w:rsid w:val="0041144D"/>
    <w:rsid w:val="00411D0C"/>
    <w:rsid w:val="004120C8"/>
    <w:rsid w:val="0041213F"/>
    <w:rsid w:val="00412F1F"/>
    <w:rsid w:val="004134D4"/>
    <w:rsid w:val="00413A85"/>
    <w:rsid w:val="00413CEF"/>
    <w:rsid w:val="00414816"/>
    <w:rsid w:val="004148D9"/>
    <w:rsid w:val="00414BE9"/>
    <w:rsid w:val="00414C3A"/>
    <w:rsid w:val="00414CC3"/>
    <w:rsid w:val="00414D9B"/>
    <w:rsid w:val="00415075"/>
    <w:rsid w:val="00415549"/>
    <w:rsid w:val="00415B4D"/>
    <w:rsid w:val="004161D8"/>
    <w:rsid w:val="004164AB"/>
    <w:rsid w:val="004164B5"/>
    <w:rsid w:val="00416A19"/>
    <w:rsid w:val="00416AD9"/>
    <w:rsid w:val="00416B9D"/>
    <w:rsid w:val="00416E0D"/>
    <w:rsid w:val="00416E4E"/>
    <w:rsid w:val="00416E64"/>
    <w:rsid w:val="004177A5"/>
    <w:rsid w:val="004179A5"/>
    <w:rsid w:val="00417AB0"/>
    <w:rsid w:val="00417D94"/>
    <w:rsid w:val="00417EE7"/>
    <w:rsid w:val="0042008F"/>
    <w:rsid w:val="00420930"/>
    <w:rsid w:val="00420990"/>
    <w:rsid w:val="00420A69"/>
    <w:rsid w:val="00420F16"/>
    <w:rsid w:val="00421116"/>
    <w:rsid w:val="00421509"/>
    <w:rsid w:val="004215FD"/>
    <w:rsid w:val="00421845"/>
    <w:rsid w:val="00421CB3"/>
    <w:rsid w:val="00421DF6"/>
    <w:rsid w:val="004222EE"/>
    <w:rsid w:val="00422328"/>
    <w:rsid w:val="004223CC"/>
    <w:rsid w:val="0042278F"/>
    <w:rsid w:val="00422F05"/>
    <w:rsid w:val="004230B4"/>
    <w:rsid w:val="00423230"/>
    <w:rsid w:val="004233FF"/>
    <w:rsid w:val="004238A4"/>
    <w:rsid w:val="004238DC"/>
    <w:rsid w:val="00423A0C"/>
    <w:rsid w:val="00423C6A"/>
    <w:rsid w:val="00423D37"/>
    <w:rsid w:val="004245D0"/>
    <w:rsid w:val="0042483A"/>
    <w:rsid w:val="00424FF8"/>
    <w:rsid w:val="004251D3"/>
    <w:rsid w:val="0042523C"/>
    <w:rsid w:val="0042562F"/>
    <w:rsid w:val="00425661"/>
    <w:rsid w:val="00425936"/>
    <w:rsid w:val="00425E84"/>
    <w:rsid w:val="00425E9A"/>
    <w:rsid w:val="00425E9D"/>
    <w:rsid w:val="00426303"/>
    <w:rsid w:val="00426895"/>
    <w:rsid w:val="00426995"/>
    <w:rsid w:val="0042764A"/>
    <w:rsid w:val="00427C71"/>
    <w:rsid w:val="00427D8B"/>
    <w:rsid w:val="00427E29"/>
    <w:rsid w:val="0043000E"/>
    <w:rsid w:val="00430162"/>
    <w:rsid w:val="0043035E"/>
    <w:rsid w:val="00430641"/>
    <w:rsid w:val="00430A5D"/>
    <w:rsid w:val="00430C79"/>
    <w:rsid w:val="00430CD7"/>
    <w:rsid w:val="004318DB"/>
    <w:rsid w:val="00431DA1"/>
    <w:rsid w:val="00431F75"/>
    <w:rsid w:val="00432088"/>
    <w:rsid w:val="00432204"/>
    <w:rsid w:val="004323FE"/>
    <w:rsid w:val="0043296D"/>
    <w:rsid w:val="00432A85"/>
    <w:rsid w:val="00432A89"/>
    <w:rsid w:val="00432C10"/>
    <w:rsid w:val="00432D3B"/>
    <w:rsid w:val="00433067"/>
    <w:rsid w:val="004331B9"/>
    <w:rsid w:val="00433573"/>
    <w:rsid w:val="0043360D"/>
    <w:rsid w:val="00433770"/>
    <w:rsid w:val="00433947"/>
    <w:rsid w:val="00433E7D"/>
    <w:rsid w:val="00434370"/>
    <w:rsid w:val="0043437E"/>
    <w:rsid w:val="004346C4"/>
    <w:rsid w:val="004346C7"/>
    <w:rsid w:val="0043487C"/>
    <w:rsid w:val="004348D9"/>
    <w:rsid w:val="00434CF4"/>
    <w:rsid w:val="00434D19"/>
    <w:rsid w:val="00434E10"/>
    <w:rsid w:val="00435308"/>
    <w:rsid w:val="004359EF"/>
    <w:rsid w:val="00435CD4"/>
    <w:rsid w:val="00435F70"/>
    <w:rsid w:val="004363EF"/>
    <w:rsid w:val="00436AE4"/>
    <w:rsid w:val="00436E04"/>
    <w:rsid w:val="00436E7A"/>
    <w:rsid w:val="0043701A"/>
    <w:rsid w:val="0043706D"/>
    <w:rsid w:val="0043762B"/>
    <w:rsid w:val="004377A2"/>
    <w:rsid w:val="00437A4A"/>
    <w:rsid w:val="00437D6C"/>
    <w:rsid w:val="00437E64"/>
    <w:rsid w:val="00437FED"/>
    <w:rsid w:val="004401C1"/>
    <w:rsid w:val="00440254"/>
    <w:rsid w:val="0044027F"/>
    <w:rsid w:val="0044048A"/>
    <w:rsid w:val="00440536"/>
    <w:rsid w:val="00440776"/>
    <w:rsid w:val="004407C4"/>
    <w:rsid w:val="004407CB"/>
    <w:rsid w:val="00440C4F"/>
    <w:rsid w:val="00440C7B"/>
    <w:rsid w:val="00440D6E"/>
    <w:rsid w:val="00440FE1"/>
    <w:rsid w:val="00440FF5"/>
    <w:rsid w:val="00441100"/>
    <w:rsid w:val="00441263"/>
    <w:rsid w:val="00441318"/>
    <w:rsid w:val="0044155E"/>
    <w:rsid w:val="0044165D"/>
    <w:rsid w:val="00441702"/>
    <w:rsid w:val="004418DD"/>
    <w:rsid w:val="00441FBE"/>
    <w:rsid w:val="0044246C"/>
    <w:rsid w:val="004424AF"/>
    <w:rsid w:val="004427B7"/>
    <w:rsid w:val="004427FD"/>
    <w:rsid w:val="00442A2F"/>
    <w:rsid w:val="00442D55"/>
    <w:rsid w:val="0044308E"/>
    <w:rsid w:val="00443117"/>
    <w:rsid w:val="00443576"/>
    <w:rsid w:val="00444431"/>
    <w:rsid w:val="0044450E"/>
    <w:rsid w:val="004445CF"/>
    <w:rsid w:val="00444C10"/>
    <w:rsid w:val="00444E0E"/>
    <w:rsid w:val="00445596"/>
    <w:rsid w:val="00445657"/>
    <w:rsid w:val="00445B6A"/>
    <w:rsid w:val="00445C0C"/>
    <w:rsid w:val="00445E2B"/>
    <w:rsid w:val="00445E2F"/>
    <w:rsid w:val="00445F8F"/>
    <w:rsid w:val="00446649"/>
    <w:rsid w:val="00446717"/>
    <w:rsid w:val="00446863"/>
    <w:rsid w:val="00446A53"/>
    <w:rsid w:val="004470C1"/>
    <w:rsid w:val="0044722E"/>
    <w:rsid w:val="004478CB"/>
    <w:rsid w:val="00447F3C"/>
    <w:rsid w:val="00447FD8"/>
    <w:rsid w:val="004506DF"/>
    <w:rsid w:val="00450839"/>
    <w:rsid w:val="004508CA"/>
    <w:rsid w:val="00450A40"/>
    <w:rsid w:val="00450DE5"/>
    <w:rsid w:val="004510EE"/>
    <w:rsid w:val="0045117D"/>
    <w:rsid w:val="004511D4"/>
    <w:rsid w:val="0045134C"/>
    <w:rsid w:val="004518DD"/>
    <w:rsid w:val="00451B3A"/>
    <w:rsid w:val="00451C35"/>
    <w:rsid w:val="00451F55"/>
    <w:rsid w:val="00451F91"/>
    <w:rsid w:val="004523CF"/>
    <w:rsid w:val="004525F9"/>
    <w:rsid w:val="004526EE"/>
    <w:rsid w:val="00452A25"/>
    <w:rsid w:val="00452AF7"/>
    <w:rsid w:val="004533E7"/>
    <w:rsid w:val="00453468"/>
    <w:rsid w:val="00453614"/>
    <w:rsid w:val="00453652"/>
    <w:rsid w:val="0045376E"/>
    <w:rsid w:val="0045392E"/>
    <w:rsid w:val="00453DA1"/>
    <w:rsid w:val="00454318"/>
    <w:rsid w:val="004544B0"/>
    <w:rsid w:val="004546B0"/>
    <w:rsid w:val="00454845"/>
    <w:rsid w:val="00454B38"/>
    <w:rsid w:val="00454C70"/>
    <w:rsid w:val="00454D91"/>
    <w:rsid w:val="00454DE2"/>
    <w:rsid w:val="004550F5"/>
    <w:rsid w:val="004552FE"/>
    <w:rsid w:val="004554B0"/>
    <w:rsid w:val="00456088"/>
    <w:rsid w:val="00456347"/>
    <w:rsid w:val="004564CC"/>
    <w:rsid w:val="0045663E"/>
    <w:rsid w:val="004569F7"/>
    <w:rsid w:val="00456AD6"/>
    <w:rsid w:val="00456AFE"/>
    <w:rsid w:val="00456C10"/>
    <w:rsid w:val="0045751D"/>
    <w:rsid w:val="00457AE1"/>
    <w:rsid w:val="00457E38"/>
    <w:rsid w:val="00457ED9"/>
    <w:rsid w:val="00457EEA"/>
    <w:rsid w:val="00457F75"/>
    <w:rsid w:val="0046001C"/>
    <w:rsid w:val="004602F3"/>
    <w:rsid w:val="004604DD"/>
    <w:rsid w:val="0046058A"/>
    <w:rsid w:val="00460989"/>
    <w:rsid w:val="00460A61"/>
    <w:rsid w:val="00460A72"/>
    <w:rsid w:val="00461291"/>
    <w:rsid w:val="004617D4"/>
    <w:rsid w:val="004619F4"/>
    <w:rsid w:val="0046218D"/>
    <w:rsid w:val="004623A0"/>
    <w:rsid w:val="00462524"/>
    <w:rsid w:val="0046280D"/>
    <w:rsid w:val="00463CE2"/>
    <w:rsid w:val="00463D00"/>
    <w:rsid w:val="00464046"/>
    <w:rsid w:val="0046404A"/>
    <w:rsid w:val="004646A4"/>
    <w:rsid w:val="00464790"/>
    <w:rsid w:val="004649CE"/>
    <w:rsid w:val="00464C19"/>
    <w:rsid w:val="00464D15"/>
    <w:rsid w:val="004650F3"/>
    <w:rsid w:val="004655AB"/>
    <w:rsid w:val="00465762"/>
    <w:rsid w:val="00465A70"/>
    <w:rsid w:val="00465ADC"/>
    <w:rsid w:val="00465B71"/>
    <w:rsid w:val="00466244"/>
    <w:rsid w:val="0046676F"/>
    <w:rsid w:val="00466A43"/>
    <w:rsid w:val="0046763D"/>
    <w:rsid w:val="004676AB"/>
    <w:rsid w:val="00467881"/>
    <w:rsid w:val="004678F4"/>
    <w:rsid w:val="00467ADA"/>
    <w:rsid w:val="004703F1"/>
    <w:rsid w:val="00470709"/>
    <w:rsid w:val="0047072E"/>
    <w:rsid w:val="00470D17"/>
    <w:rsid w:val="00470D4A"/>
    <w:rsid w:val="00471079"/>
    <w:rsid w:val="00471352"/>
    <w:rsid w:val="0047145E"/>
    <w:rsid w:val="0047148C"/>
    <w:rsid w:val="004717C7"/>
    <w:rsid w:val="004719D0"/>
    <w:rsid w:val="00471A8E"/>
    <w:rsid w:val="00471C27"/>
    <w:rsid w:val="00471FC2"/>
    <w:rsid w:val="0047204E"/>
    <w:rsid w:val="004721D7"/>
    <w:rsid w:val="00472248"/>
    <w:rsid w:val="00472296"/>
    <w:rsid w:val="00472331"/>
    <w:rsid w:val="004725C3"/>
    <w:rsid w:val="00472729"/>
    <w:rsid w:val="004728BC"/>
    <w:rsid w:val="00472979"/>
    <w:rsid w:val="00472A09"/>
    <w:rsid w:val="00472C97"/>
    <w:rsid w:val="00472D86"/>
    <w:rsid w:val="00473558"/>
    <w:rsid w:val="004736AC"/>
    <w:rsid w:val="004739F3"/>
    <w:rsid w:val="00473A06"/>
    <w:rsid w:val="00473AF4"/>
    <w:rsid w:val="00474097"/>
    <w:rsid w:val="00474287"/>
    <w:rsid w:val="004742CD"/>
    <w:rsid w:val="00474A5A"/>
    <w:rsid w:val="00474BAA"/>
    <w:rsid w:val="00475A4F"/>
    <w:rsid w:val="004762B7"/>
    <w:rsid w:val="0047646A"/>
    <w:rsid w:val="00476FE6"/>
    <w:rsid w:val="0047723B"/>
    <w:rsid w:val="00477328"/>
    <w:rsid w:val="00477453"/>
    <w:rsid w:val="0047765E"/>
    <w:rsid w:val="0047766A"/>
    <w:rsid w:val="00480427"/>
    <w:rsid w:val="00480ADA"/>
    <w:rsid w:val="00480AE2"/>
    <w:rsid w:val="00480B8B"/>
    <w:rsid w:val="00480D5C"/>
    <w:rsid w:val="004815C6"/>
    <w:rsid w:val="00481A75"/>
    <w:rsid w:val="00481D5A"/>
    <w:rsid w:val="00481EAA"/>
    <w:rsid w:val="00482268"/>
    <w:rsid w:val="00482566"/>
    <w:rsid w:val="0048266D"/>
    <w:rsid w:val="004828EB"/>
    <w:rsid w:val="00482977"/>
    <w:rsid w:val="00482A7A"/>
    <w:rsid w:val="00482BC2"/>
    <w:rsid w:val="00482C6D"/>
    <w:rsid w:val="00482E63"/>
    <w:rsid w:val="00483148"/>
    <w:rsid w:val="00483237"/>
    <w:rsid w:val="004839A0"/>
    <w:rsid w:val="00484011"/>
    <w:rsid w:val="0048414D"/>
    <w:rsid w:val="0048459F"/>
    <w:rsid w:val="00484788"/>
    <w:rsid w:val="004847D5"/>
    <w:rsid w:val="00484B6C"/>
    <w:rsid w:val="00484DBD"/>
    <w:rsid w:val="00484DF6"/>
    <w:rsid w:val="00484EE6"/>
    <w:rsid w:val="0048510D"/>
    <w:rsid w:val="00485509"/>
    <w:rsid w:val="004857D6"/>
    <w:rsid w:val="004858D5"/>
    <w:rsid w:val="00485A9B"/>
    <w:rsid w:val="00485C36"/>
    <w:rsid w:val="00485C77"/>
    <w:rsid w:val="00485D31"/>
    <w:rsid w:val="00485E34"/>
    <w:rsid w:val="004860F4"/>
    <w:rsid w:val="004862CA"/>
    <w:rsid w:val="00486475"/>
    <w:rsid w:val="004871A9"/>
    <w:rsid w:val="004871CC"/>
    <w:rsid w:val="00487703"/>
    <w:rsid w:val="004877F7"/>
    <w:rsid w:val="0048795F"/>
    <w:rsid w:val="00487D5E"/>
    <w:rsid w:val="00487F47"/>
    <w:rsid w:val="0049009E"/>
    <w:rsid w:val="0049053D"/>
    <w:rsid w:val="004905D2"/>
    <w:rsid w:val="004905E7"/>
    <w:rsid w:val="00490A33"/>
    <w:rsid w:val="00490C6A"/>
    <w:rsid w:val="00490DBC"/>
    <w:rsid w:val="004910F3"/>
    <w:rsid w:val="00491527"/>
    <w:rsid w:val="00491C87"/>
    <w:rsid w:val="00491F7B"/>
    <w:rsid w:val="00492388"/>
    <w:rsid w:val="004931D8"/>
    <w:rsid w:val="0049330A"/>
    <w:rsid w:val="0049342B"/>
    <w:rsid w:val="00493546"/>
    <w:rsid w:val="00493583"/>
    <w:rsid w:val="004937A3"/>
    <w:rsid w:val="004939C6"/>
    <w:rsid w:val="00493B9D"/>
    <w:rsid w:val="00493BF8"/>
    <w:rsid w:val="00493CA7"/>
    <w:rsid w:val="0049485A"/>
    <w:rsid w:val="00494888"/>
    <w:rsid w:val="004948B5"/>
    <w:rsid w:val="004951E1"/>
    <w:rsid w:val="004953CA"/>
    <w:rsid w:val="00495529"/>
    <w:rsid w:val="0049584B"/>
    <w:rsid w:val="00495C39"/>
    <w:rsid w:val="00495EB7"/>
    <w:rsid w:val="00495ED1"/>
    <w:rsid w:val="004963D8"/>
    <w:rsid w:val="004965E2"/>
    <w:rsid w:val="004968FA"/>
    <w:rsid w:val="0049692C"/>
    <w:rsid w:val="004969B0"/>
    <w:rsid w:val="00496AA4"/>
    <w:rsid w:val="00496AE5"/>
    <w:rsid w:val="00496B9D"/>
    <w:rsid w:val="0049728A"/>
    <w:rsid w:val="00497A5A"/>
    <w:rsid w:val="00497F52"/>
    <w:rsid w:val="00497F6F"/>
    <w:rsid w:val="004A0142"/>
    <w:rsid w:val="004A0834"/>
    <w:rsid w:val="004A0A2F"/>
    <w:rsid w:val="004A0A7E"/>
    <w:rsid w:val="004A0C4D"/>
    <w:rsid w:val="004A0C6A"/>
    <w:rsid w:val="004A10B4"/>
    <w:rsid w:val="004A18C9"/>
    <w:rsid w:val="004A1D20"/>
    <w:rsid w:val="004A1D84"/>
    <w:rsid w:val="004A1F82"/>
    <w:rsid w:val="004A203E"/>
    <w:rsid w:val="004A22A8"/>
    <w:rsid w:val="004A26CC"/>
    <w:rsid w:val="004A27B2"/>
    <w:rsid w:val="004A28CA"/>
    <w:rsid w:val="004A28CF"/>
    <w:rsid w:val="004A29A2"/>
    <w:rsid w:val="004A2AA4"/>
    <w:rsid w:val="004A2ABD"/>
    <w:rsid w:val="004A2AC4"/>
    <w:rsid w:val="004A2BB3"/>
    <w:rsid w:val="004A2BED"/>
    <w:rsid w:val="004A2CCC"/>
    <w:rsid w:val="004A3241"/>
    <w:rsid w:val="004A37DC"/>
    <w:rsid w:val="004A3876"/>
    <w:rsid w:val="004A38DF"/>
    <w:rsid w:val="004A3B14"/>
    <w:rsid w:val="004A49DE"/>
    <w:rsid w:val="004A4AAB"/>
    <w:rsid w:val="004A4D1E"/>
    <w:rsid w:val="004A4D8D"/>
    <w:rsid w:val="004A4E1E"/>
    <w:rsid w:val="004A5067"/>
    <w:rsid w:val="004A5D05"/>
    <w:rsid w:val="004A5DD0"/>
    <w:rsid w:val="004A5F52"/>
    <w:rsid w:val="004A6228"/>
    <w:rsid w:val="004A6256"/>
    <w:rsid w:val="004A65DB"/>
    <w:rsid w:val="004A6844"/>
    <w:rsid w:val="004A6F9C"/>
    <w:rsid w:val="004A730A"/>
    <w:rsid w:val="004A741A"/>
    <w:rsid w:val="004A781C"/>
    <w:rsid w:val="004A7F6D"/>
    <w:rsid w:val="004B00E7"/>
    <w:rsid w:val="004B02CC"/>
    <w:rsid w:val="004B055D"/>
    <w:rsid w:val="004B0704"/>
    <w:rsid w:val="004B0DB8"/>
    <w:rsid w:val="004B11C0"/>
    <w:rsid w:val="004B1E62"/>
    <w:rsid w:val="004B2527"/>
    <w:rsid w:val="004B26F9"/>
    <w:rsid w:val="004B2DF4"/>
    <w:rsid w:val="004B323A"/>
    <w:rsid w:val="004B331B"/>
    <w:rsid w:val="004B3551"/>
    <w:rsid w:val="004B357A"/>
    <w:rsid w:val="004B35D2"/>
    <w:rsid w:val="004B3699"/>
    <w:rsid w:val="004B3745"/>
    <w:rsid w:val="004B39B2"/>
    <w:rsid w:val="004B3A37"/>
    <w:rsid w:val="004B3F14"/>
    <w:rsid w:val="004B451D"/>
    <w:rsid w:val="004B4E3B"/>
    <w:rsid w:val="004B4E61"/>
    <w:rsid w:val="004B4E7F"/>
    <w:rsid w:val="004B51C2"/>
    <w:rsid w:val="004B5537"/>
    <w:rsid w:val="004B59AA"/>
    <w:rsid w:val="004B5A16"/>
    <w:rsid w:val="004B5C37"/>
    <w:rsid w:val="004B5F2D"/>
    <w:rsid w:val="004B5FBE"/>
    <w:rsid w:val="004B6032"/>
    <w:rsid w:val="004B63E0"/>
    <w:rsid w:val="004B645A"/>
    <w:rsid w:val="004B6461"/>
    <w:rsid w:val="004B6F85"/>
    <w:rsid w:val="004B71AD"/>
    <w:rsid w:val="004B73A7"/>
    <w:rsid w:val="004B74A8"/>
    <w:rsid w:val="004B77A8"/>
    <w:rsid w:val="004B7AFC"/>
    <w:rsid w:val="004B7D46"/>
    <w:rsid w:val="004C04B7"/>
    <w:rsid w:val="004C05EC"/>
    <w:rsid w:val="004C06A7"/>
    <w:rsid w:val="004C0804"/>
    <w:rsid w:val="004C0900"/>
    <w:rsid w:val="004C0C42"/>
    <w:rsid w:val="004C0DC5"/>
    <w:rsid w:val="004C1530"/>
    <w:rsid w:val="004C156B"/>
    <w:rsid w:val="004C1614"/>
    <w:rsid w:val="004C1E2A"/>
    <w:rsid w:val="004C2136"/>
    <w:rsid w:val="004C227A"/>
    <w:rsid w:val="004C22BC"/>
    <w:rsid w:val="004C2397"/>
    <w:rsid w:val="004C24E3"/>
    <w:rsid w:val="004C2D21"/>
    <w:rsid w:val="004C2D5D"/>
    <w:rsid w:val="004C2DA5"/>
    <w:rsid w:val="004C2EEA"/>
    <w:rsid w:val="004C3060"/>
    <w:rsid w:val="004C35D7"/>
    <w:rsid w:val="004C3669"/>
    <w:rsid w:val="004C39F6"/>
    <w:rsid w:val="004C4143"/>
    <w:rsid w:val="004C42CE"/>
    <w:rsid w:val="004C4399"/>
    <w:rsid w:val="004C4422"/>
    <w:rsid w:val="004C46ED"/>
    <w:rsid w:val="004C4776"/>
    <w:rsid w:val="004C4885"/>
    <w:rsid w:val="004C49A6"/>
    <w:rsid w:val="004C5040"/>
    <w:rsid w:val="004C56BA"/>
    <w:rsid w:val="004C56E6"/>
    <w:rsid w:val="004C59FD"/>
    <w:rsid w:val="004C5C1C"/>
    <w:rsid w:val="004C5C2A"/>
    <w:rsid w:val="004C5EB7"/>
    <w:rsid w:val="004C6226"/>
    <w:rsid w:val="004C62DD"/>
    <w:rsid w:val="004C64CC"/>
    <w:rsid w:val="004C6503"/>
    <w:rsid w:val="004C678E"/>
    <w:rsid w:val="004C69FD"/>
    <w:rsid w:val="004C6A25"/>
    <w:rsid w:val="004C6D69"/>
    <w:rsid w:val="004C6F8A"/>
    <w:rsid w:val="004C747F"/>
    <w:rsid w:val="004C753E"/>
    <w:rsid w:val="004C79B0"/>
    <w:rsid w:val="004C7BF0"/>
    <w:rsid w:val="004C7D6B"/>
    <w:rsid w:val="004C7E8A"/>
    <w:rsid w:val="004D015C"/>
    <w:rsid w:val="004D025B"/>
    <w:rsid w:val="004D033E"/>
    <w:rsid w:val="004D068F"/>
    <w:rsid w:val="004D08E3"/>
    <w:rsid w:val="004D0BC8"/>
    <w:rsid w:val="004D0C6D"/>
    <w:rsid w:val="004D0D78"/>
    <w:rsid w:val="004D0F78"/>
    <w:rsid w:val="004D1125"/>
    <w:rsid w:val="004D1336"/>
    <w:rsid w:val="004D1454"/>
    <w:rsid w:val="004D1478"/>
    <w:rsid w:val="004D1682"/>
    <w:rsid w:val="004D18E5"/>
    <w:rsid w:val="004D1B89"/>
    <w:rsid w:val="004D1BE3"/>
    <w:rsid w:val="004D201F"/>
    <w:rsid w:val="004D233D"/>
    <w:rsid w:val="004D2527"/>
    <w:rsid w:val="004D2856"/>
    <w:rsid w:val="004D297D"/>
    <w:rsid w:val="004D2E2B"/>
    <w:rsid w:val="004D2F16"/>
    <w:rsid w:val="004D2F25"/>
    <w:rsid w:val="004D2FC7"/>
    <w:rsid w:val="004D3960"/>
    <w:rsid w:val="004D3964"/>
    <w:rsid w:val="004D3AAC"/>
    <w:rsid w:val="004D3FBA"/>
    <w:rsid w:val="004D415E"/>
    <w:rsid w:val="004D467C"/>
    <w:rsid w:val="004D4C3E"/>
    <w:rsid w:val="004D4E72"/>
    <w:rsid w:val="004D534C"/>
    <w:rsid w:val="004D540F"/>
    <w:rsid w:val="004D570B"/>
    <w:rsid w:val="004D58AB"/>
    <w:rsid w:val="004D5BCB"/>
    <w:rsid w:val="004D5F16"/>
    <w:rsid w:val="004D5FA1"/>
    <w:rsid w:val="004D6072"/>
    <w:rsid w:val="004D620F"/>
    <w:rsid w:val="004D6281"/>
    <w:rsid w:val="004D62D5"/>
    <w:rsid w:val="004D6600"/>
    <w:rsid w:val="004D6604"/>
    <w:rsid w:val="004D69CF"/>
    <w:rsid w:val="004D6EFC"/>
    <w:rsid w:val="004D75F6"/>
    <w:rsid w:val="004D799E"/>
    <w:rsid w:val="004D79CE"/>
    <w:rsid w:val="004D7AE0"/>
    <w:rsid w:val="004D7BE9"/>
    <w:rsid w:val="004D7D51"/>
    <w:rsid w:val="004E0095"/>
    <w:rsid w:val="004E059F"/>
    <w:rsid w:val="004E0F0F"/>
    <w:rsid w:val="004E10C3"/>
    <w:rsid w:val="004E17AE"/>
    <w:rsid w:val="004E2276"/>
    <w:rsid w:val="004E2B07"/>
    <w:rsid w:val="004E2B7F"/>
    <w:rsid w:val="004E2B9E"/>
    <w:rsid w:val="004E2C35"/>
    <w:rsid w:val="004E2E8C"/>
    <w:rsid w:val="004E30E1"/>
    <w:rsid w:val="004E34AE"/>
    <w:rsid w:val="004E3582"/>
    <w:rsid w:val="004E3690"/>
    <w:rsid w:val="004E38B5"/>
    <w:rsid w:val="004E39D9"/>
    <w:rsid w:val="004E3A2B"/>
    <w:rsid w:val="004E4506"/>
    <w:rsid w:val="004E45DD"/>
    <w:rsid w:val="004E47B3"/>
    <w:rsid w:val="004E4DD9"/>
    <w:rsid w:val="004E554E"/>
    <w:rsid w:val="004E5D08"/>
    <w:rsid w:val="004E6024"/>
    <w:rsid w:val="004E60A3"/>
    <w:rsid w:val="004E6202"/>
    <w:rsid w:val="004E6251"/>
    <w:rsid w:val="004E637B"/>
    <w:rsid w:val="004E6487"/>
    <w:rsid w:val="004E68F8"/>
    <w:rsid w:val="004E6CC6"/>
    <w:rsid w:val="004E732A"/>
    <w:rsid w:val="004E74B3"/>
    <w:rsid w:val="004E7C9E"/>
    <w:rsid w:val="004E7CB0"/>
    <w:rsid w:val="004F00BA"/>
    <w:rsid w:val="004F0225"/>
    <w:rsid w:val="004F0227"/>
    <w:rsid w:val="004F0296"/>
    <w:rsid w:val="004F0AD3"/>
    <w:rsid w:val="004F17E9"/>
    <w:rsid w:val="004F1828"/>
    <w:rsid w:val="004F1B42"/>
    <w:rsid w:val="004F2101"/>
    <w:rsid w:val="004F2248"/>
    <w:rsid w:val="004F26E8"/>
    <w:rsid w:val="004F277E"/>
    <w:rsid w:val="004F28B2"/>
    <w:rsid w:val="004F28F4"/>
    <w:rsid w:val="004F28FC"/>
    <w:rsid w:val="004F2C40"/>
    <w:rsid w:val="004F3402"/>
    <w:rsid w:val="004F37BA"/>
    <w:rsid w:val="004F37E8"/>
    <w:rsid w:val="004F3C40"/>
    <w:rsid w:val="004F3C6A"/>
    <w:rsid w:val="004F3FD1"/>
    <w:rsid w:val="004F43F6"/>
    <w:rsid w:val="004F4438"/>
    <w:rsid w:val="004F45A3"/>
    <w:rsid w:val="004F4B39"/>
    <w:rsid w:val="004F4C33"/>
    <w:rsid w:val="004F4C8A"/>
    <w:rsid w:val="004F4E4A"/>
    <w:rsid w:val="004F5014"/>
    <w:rsid w:val="004F50BA"/>
    <w:rsid w:val="004F51C3"/>
    <w:rsid w:val="004F53E5"/>
    <w:rsid w:val="004F54D5"/>
    <w:rsid w:val="004F57F1"/>
    <w:rsid w:val="004F635A"/>
    <w:rsid w:val="004F63E4"/>
    <w:rsid w:val="004F6438"/>
    <w:rsid w:val="004F6458"/>
    <w:rsid w:val="004F65D0"/>
    <w:rsid w:val="004F67BF"/>
    <w:rsid w:val="004F70DD"/>
    <w:rsid w:val="004F728A"/>
    <w:rsid w:val="004F746A"/>
    <w:rsid w:val="004F74F5"/>
    <w:rsid w:val="004F771D"/>
    <w:rsid w:val="004F77E3"/>
    <w:rsid w:val="004F77F7"/>
    <w:rsid w:val="004F797A"/>
    <w:rsid w:val="004F79D6"/>
    <w:rsid w:val="004F7A54"/>
    <w:rsid w:val="004F7BAA"/>
    <w:rsid w:val="004F7FCD"/>
    <w:rsid w:val="0050043D"/>
    <w:rsid w:val="0050044E"/>
    <w:rsid w:val="0050046F"/>
    <w:rsid w:val="005005AA"/>
    <w:rsid w:val="00500827"/>
    <w:rsid w:val="005009CF"/>
    <w:rsid w:val="00500BAC"/>
    <w:rsid w:val="00500C71"/>
    <w:rsid w:val="00500ED1"/>
    <w:rsid w:val="00501157"/>
    <w:rsid w:val="005015E2"/>
    <w:rsid w:val="00501E4E"/>
    <w:rsid w:val="00501F84"/>
    <w:rsid w:val="00502194"/>
    <w:rsid w:val="0050240B"/>
    <w:rsid w:val="0050250B"/>
    <w:rsid w:val="005025E1"/>
    <w:rsid w:val="00502656"/>
    <w:rsid w:val="0050266B"/>
    <w:rsid w:val="005027D3"/>
    <w:rsid w:val="00502909"/>
    <w:rsid w:val="005029B5"/>
    <w:rsid w:val="00502A79"/>
    <w:rsid w:val="0050321E"/>
    <w:rsid w:val="00503284"/>
    <w:rsid w:val="00503BB5"/>
    <w:rsid w:val="00503C81"/>
    <w:rsid w:val="00504538"/>
    <w:rsid w:val="00504BF9"/>
    <w:rsid w:val="00505184"/>
    <w:rsid w:val="0050519F"/>
    <w:rsid w:val="005051E3"/>
    <w:rsid w:val="00505A67"/>
    <w:rsid w:val="00505C63"/>
    <w:rsid w:val="00505F37"/>
    <w:rsid w:val="005060DA"/>
    <w:rsid w:val="00506680"/>
    <w:rsid w:val="005067E7"/>
    <w:rsid w:val="00506856"/>
    <w:rsid w:val="00506A30"/>
    <w:rsid w:val="00506EC1"/>
    <w:rsid w:val="00506EE8"/>
    <w:rsid w:val="00506F24"/>
    <w:rsid w:val="0050702A"/>
    <w:rsid w:val="0050703C"/>
    <w:rsid w:val="00507187"/>
    <w:rsid w:val="00507202"/>
    <w:rsid w:val="0050738A"/>
    <w:rsid w:val="005076DF"/>
    <w:rsid w:val="00507716"/>
    <w:rsid w:val="005078C9"/>
    <w:rsid w:val="0050799D"/>
    <w:rsid w:val="00507B0C"/>
    <w:rsid w:val="00507B56"/>
    <w:rsid w:val="00507DDE"/>
    <w:rsid w:val="00507DEB"/>
    <w:rsid w:val="0051001A"/>
    <w:rsid w:val="0051077A"/>
    <w:rsid w:val="005109C2"/>
    <w:rsid w:val="00510C8C"/>
    <w:rsid w:val="0051123C"/>
    <w:rsid w:val="0051167A"/>
    <w:rsid w:val="005117D2"/>
    <w:rsid w:val="005117DD"/>
    <w:rsid w:val="0051192D"/>
    <w:rsid w:val="00511CD4"/>
    <w:rsid w:val="00511D75"/>
    <w:rsid w:val="0051224E"/>
    <w:rsid w:val="005122EC"/>
    <w:rsid w:val="00512339"/>
    <w:rsid w:val="005123B1"/>
    <w:rsid w:val="005124E6"/>
    <w:rsid w:val="00512749"/>
    <w:rsid w:val="005129F4"/>
    <w:rsid w:val="00512A38"/>
    <w:rsid w:val="00512AB5"/>
    <w:rsid w:val="00513227"/>
    <w:rsid w:val="005133B0"/>
    <w:rsid w:val="005134D4"/>
    <w:rsid w:val="005137BA"/>
    <w:rsid w:val="005137C1"/>
    <w:rsid w:val="00513885"/>
    <w:rsid w:val="00513D38"/>
    <w:rsid w:val="005141AA"/>
    <w:rsid w:val="005148CB"/>
    <w:rsid w:val="00514D48"/>
    <w:rsid w:val="00514F73"/>
    <w:rsid w:val="00515012"/>
    <w:rsid w:val="00515391"/>
    <w:rsid w:val="0051558E"/>
    <w:rsid w:val="00515C12"/>
    <w:rsid w:val="00515E70"/>
    <w:rsid w:val="00516022"/>
    <w:rsid w:val="0051617A"/>
    <w:rsid w:val="00516489"/>
    <w:rsid w:val="00516737"/>
    <w:rsid w:val="00516E96"/>
    <w:rsid w:val="00517168"/>
    <w:rsid w:val="005172E2"/>
    <w:rsid w:val="005176E6"/>
    <w:rsid w:val="005178A5"/>
    <w:rsid w:val="00517A1F"/>
    <w:rsid w:val="005203B3"/>
    <w:rsid w:val="005207CE"/>
    <w:rsid w:val="00520B3B"/>
    <w:rsid w:val="005210ED"/>
    <w:rsid w:val="005210F8"/>
    <w:rsid w:val="0052130C"/>
    <w:rsid w:val="00521321"/>
    <w:rsid w:val="00521F42"/>
    <w:rsid w:val="0052225D"/>
    <w:rsid w:val="00522AA2"/>
    <w:rsid w:val="00523133"/>
    <w:rsid w:val="005233D5"/>
    <w:rsid w:val="00523A35"/>
    <w:rsid w:val="00524044"/>
    <w:rsid w:val="00524583"/>
    <w:rsid w:val="005246B0"/>
    <w:rsid w:val="0052493D"/>
    <w:rsid w:val="005249F6"/>
    <w:rsid w:val="00524E06"/>
    <w:rsid w:val="00524E59"/>
    <w:rsid w:val="00525081"/>
    <w:rsid w:val="00525291"/>
    <w:rsid w:val="00525532"/>
    <w:rsid w:val="005257FC"/>
    <w:rsid w:val="00525898"/>
    <w:rsid w:val="005259DE"/>
    <w:rsid w:val="00525C5C"/>
    <w:rsid w:val="00525E6F"/>
    <w:rsid w:val="00525EEA"/>
    <w:rsid w:val="00526174"/>
    <w:rsid w:val="0052660C"/>
    <w:rsid w:val="00526BE4"/>
    <w:rsid w:val="00526CF4"/>
    <w:rsid w:val="00526DD4"/>
    <w:rsid w:val="00527130"/>
    <w:rsid w:val="005273E6"/>
    <w:rsid w:val="0052770E"/>
    <w:rsid w:val="0052789A"/>
    <w:rsid w:val="00527CF3"/>
    <w:rsid w:val="00527D0F"/>
    <w:rsid w:val="00530215"/>
    <w:rsid w:val="005304FB"/>
    <w:rsid w:val="005305B1"/>
    <w:rsid w:val="0053066E"/>
    <w:rsid w:val="005309CD"/>
    <w:rsid w:val="00530AA9"/>
    <w:rsid w:val="00530B52"/>
    <w:rsid w:val="005319E1"/>
    <w:rsid w:val="00531AB9"/>
    <w:rsid w:val="005322B2"/>
    <w:rsid w:val="005325E8"/>
    <w:rsid w:val="0053288A"/>
    <w:rsid w:val="00532C40"/>
    <w:rsid w:val="00532C64"/>
    <w:rsid w:val="00533317"/>
    <w:rsid w:val="0053331E"/>
    <w:rsid w:val="00533445"/>
    <w:rsid w:val="0053361B"/>
    <w:rsid w:val="005337F5"/>
    <w:rsid w:val="005338C0"/>
    <w:rsid w:val="00533A40"/>
    <w:rsid w:val="00533B65"/>
    <w:rsid w:val="00533C0C"/>
    <w:rsid w:val="00534010"/>
    <w:rsid w:val="005349C4"/>
    <w:rsid w:val="00534A77"/>
    <w:rsid w:val="00534DD0"/>
    <w:rsid w:val="00534E7F"/>
    <w:rsid w:val="00535665"/>
    <w:rsid w:val="005357D0"/>
    <w:rsid w:val="0053587A"/>
    <w:rsid w:val="00535F4E"/>
    <w:rsid w:val="00536048"/>
    <w:rsid w:val="0053611F"/>
    <w:rsid w:val="005365C6"/>
    <w:rsid w:val="0053683C"/>
    <w:rsid w:val="00536C7D"/>
    <w:rsid w:val="00537284"/>
    <w:rsid w:val="00537360"/>
    <w:rsid w:val="005373C2"/>
    <w:rsid w:val="005374A2"/>
    <w:rsid w:val="00537AF3"/>
    <w:rsid w:val="00537B6F"/>
    <w:rsid w:val="00537C09"/>
    <w:rsid w:val="00537E67"/>
    <w:rsid w:val="00537F2F"/>
    <w:rsid w:val="0054005D"/>
    <w:rsid w:val="00540107"/>
    <w:rsid w:val="0054026A"/>
    <w:rsid w:val="005402CE"/>
    <w:rsid w:val="00540408"/>
    <w:rsid w:val="00540410"/>
    <w:rsid w:val="00540649"/>
    <w:rsid w:val="005409C8"/>
    <w:rsid w:val="00540A05"/>
    <w:rsid w:val="00540BE9"/>
    <w:rsid w:val="00540ECD"/>
    <w:rsid w:val="00540F7F"/>
    <w:rsid w:val="00541B69"/>
    <w:rsid w:val="00541C02"/>
    <w:rsid w:val="00541CAD"/>
    <w:rsid w:val="00542022"/>
    <w:rsid w:val="005421B4"/>
    <w:rsid w:val="00542279"/>
    <w:rsid w:val="005427D2"/>
    <w:rsid w:val="00542A04"/>
    <w:rsid w:val="00542AF7"/>
    <w:rsid w:val="00542D79"/>
    <w:rsid w:val="00542F6D"/>
    <w:rsid w:val="00542F7A"/>
    <w:rsid w:val="005432E6"/>
    <w:rsid w:val="00543963"/>
    <w:rsid w:val="00543E35"/>
    <w:rsid w:val="00544069"/>
    <w:rsid w:val="00544B9E"/>
    <w:rsid w:val="00544BD3"/>
    <w:rsid w:val="00545087"/>
    <w:rsid w:val="005453B9"/>
    <w:rsid w:val="005453BA"/>
    <w:rsid w:val="00545566"/>
    <w:rsid w:val="005455D3"/>
    <w:rsid w:val="0054560E"/>
    <w:rsid w:val="00545C8A"/>
    <w:rsid w:val="00545EFB"/>
    <w:rsid w:val="005464CF"/>
    <w:rsid w:val="0054652F"/>
    <w:rsid w:val="0054667C"/>
    <w:rsid w:val="00546A81"/>
    <w:rsid w:val="00546D27"/>
    <w:rsid w:val="00547220"/>
    <w:rsid w:val="00547315"/>
    <w:rsid w:val="00547997"/>
    <w:rsid w:val="00547B02"/>
    <w:rsid w:val="00547CC7"/>
    <w:rsid w:val="00547D98"/>
    <w:rsid w:val="00547E63"/>
    <w:rsid w:val="005505C6"/>
    <w:rsid w:val="005505CD"/>
    <w:rsid w:val="00550B17"/>
    <w:rsid w:val="00550FF9"/>
    <w:rsid w:val="00551072"/>
    <w:rsid w:val="005510AD"/>
    <w:rsid w:val="005512D1"/>
    <w:rsid w:val="00551618"/>
    <w:rsid w:val="00551807"/>
    <w:rsid w:val="0055184C"/>
    <w:rsid w:val="00551A20"/>
    <w:rsid w:val="00551BFE"/>
    <w:rsid w:val="0055205D"/>
    <w:rsid w:val="005522A0"/>
    <w:rsid w:val="005526E5"/>
    <w:rsid w:val="0055293D"/>
    <w:rsid w:val="0055303B"/>
    <w:rsid w:val="0055350D"/>
    <w:rsid w:val="00554A4B"/>
    <w:rsid w:val="00554EC8"/>
    <w:rsid w:val="00554EE4"/>
    <w:rsid w:val="00555291"/>
    <w:rsid w:val="00555C4D"/>
    <w:rsid w:val="00555F18"/>
    <w:rsid w:val="00555F97"/>
    <w:rsid w:val="0055616D"/>
    <w:rsid w:val="005562C1"/>
    <w:rsid w:val="00556429"/>
    <w:rsid w:val="0055660B"/>
    <w:rsid w:val="0055690C"/>
    <w:rsid w:val="00556BAE"/>
    <w:rsid w:val="00557234"/>
    <w:rsid w:val="00557708"/>
    <w:rsid w:val="00557AE7"/>
    <w:rsid w:val="0056014E"/>
    <w:rsid w:val="00560272"/>
    <w:rsid w:val="00560299"/>
    <w:rsid w:val="0056041A"/>
    <w:rsid w:val="00560859"/>
    <w:rsid w:val="00560909"/>
    <w:rsid w:val="00560F48"/>
    <w:rsid w:val="0056117F"/>
    <w:rsid w:val="00562179"/>
    <w:rsid w:val="00562235"/>
    <w:rsid w:val="005628F8"/>
    <w:rsid w:val="00562A26"/>
    <w:rsid w:val="00562A90"/>
    <w:rsid w:val="00562BC7"/>
    <w:rsid w:val="00562E1A"/>
    <w:rsid w:val="00562E84"/>
    <w:rsid w:val="0056307A"/>
    <w:rsid w:val="0056330C"/>
    <w:rsid w:val="005634B7"/>
    <w:rsid w:val="005634FB"/>
    <w:rsid w:val="00563919"/>
    <w:rsid w:val="00563C91"/>
    <w:rsid w:val="00564192"/>
    <w:rsid w:val="005641A2"/>
    <w:rsid w:val="0056459F"/>
    <w:rsid w:val="005645FA"/>
    <w:rsid w:val="00564A30"/>
    <w:rsid w:val="00564BE8"/>
    <w:rsid w:val="00564FBE"/>
    <w:rsid w:val="0056539E"/>
    <w:rsid w:val="0056546A"/>
    <w:rsid w:val="0056547B"/>
    <w:rsid w:val="00565580"/>
    <w:rsid w:val="005656FA"/>
    <w:rsid w:val="005657C0"/>
    <w:rsid w:val="00565AB5"/>
    <w:rsid w:val="00565BDD"/>
    <w:rsid w:val="00565BE0"/>
    <w:rsid w:val="00565C6C"/>
    <w:rsid w:val="00565E54"/>
    <w:rsid w:val="00565FD1"/>
    <w:rsid w:val="005666E8"/>
    <w:rsid w:val="00566B8D"/>
    <w:rsid w:val="005671FE"/>
    <w:rsid w:val="00567391"/>
    <w:rsid w:val="005673CF"/>
    <w:rsid w:val="00567895"/>
    <w:rsid w:val="00567AEE"/>
    <w:rsid w:val="0057025C"/>
    <w:rsid w:val="005704E7"/>
    <w:rsid w:val="00570F64"/>
    <w:rsid w:val="00571423"/>
    <w:rsid w:val="005715BE"/>
    <w:rsid w:val="00571737"/>
    <w:rsid w:val="0057189D"/>
    <w:rsid w:val="00571FEE"/>
    <w:rsid w:val="005720E0"/>
    <w:rsid w:val="005720EA"/>
    <w:rsid w:val="005721D2"/>
    <w:rsid w:val="0057231F"/>
    <w:rsid w:val="005724E1"/>
    <w:rsid w:val="00572DA1"/>
    <w:rsid w:val="00573133"/>
    <w:rsid w:val="00573259"/>
    <w:rsid w:val="005733AB"/>
    <w:rsid w:val="00573840"/>
    <w:rsid w:val="00573868"/>
    <w:rsid w:val="00573CFD"/>
    <w:rsid w:val="00573D42"/>
    <w:rsid w:val="005740D2"/>
    <w:rsid w:val="005742AE"/>
    <w:rsid w:val="00574459"/>
    <w:rsid w:val="00574484"/>
    <w:rsid w:val="005745F5"/>
    <w:rsid w:val="0057465D"/>
    <w:rsid w:val="005746BA"/>
    <w:rsid w:val="0057472D"/>
    <w:rsid w:val="00574917"/>
    <w:rsid w:val="00574BA8"/>
    <w:rsid w:val="00574C9B"/>
    <w:rsid w:val="00574DF0"/>
    <w:rsid w:val="00574E32"/>
    <w:rsid w:val="00575492"/>
    <w:rsid w:val="0057553D"/>
    <w:rsid w:val="00575860"/>
    <w:rsid w:val="005758AD"/>
    <w:rsid w:val="00575AA3"/>
    <w:rsid w:val="00575BA8"/>
    <w:rsid w:val="00575BD3"/>
    <w:rsid w:val="00575CE6"/>
    <w:rsid w:val="00575D1D"/>
    <w:rsid w:val="005760DA"/>
    <w:rsid w:val="00576104"/>
    <w:rsid w:val="0057631C"/>
    <w:rsid w:val="005763A1"/>
    <w:rsid w:val="0057642D"/>
    <w:rsid w:val="005764EE"/>
    <w:rsid w:val="005765BC"/>
    <w:rsid w:val="0057676B"/>
    <w:rsid w:val="005768E7"/>
    <w:rsid w:val="00576943"/>
    <w:rsid w:val="00576986"/>
    <w:rsid w:val="0057712A"/>
    <w:rsid w:val="0057714E"/>
    <w:rsid w:val="00577272"/>
    <w:rsid w:val="005774F0"/>
    <w:rsid w:val="00577636"/>
    <w:rsid w:val="0057794E"/>
    <w:rsid w:val="00577E3C"/>
    <w:rsid w:val="00580074"/>
    <w:rsid w:val="005800EF"/>
    <w:rsid w:val="005802D5"/>
    <w:rsid w:val="00580A73"/>
    <w:rsid w:val="00580B78"/>
    <w:rsid w:val="00580CB2"/>
    <w:rsid w:val="00580CF2"/>
    <w:rsid w:val="00581114"/>
    <w:rsid w:val="00581975"/>
    <w:rsid w:val="005819FD"/>
    <w:rsid w:val="005821E3"/>
    <w:rsid w:val="00582570"/>
    <w:rsid w:val="005829B1"/>
    <w:rsid w:val="00582A22"/>
    <w:rsid w:val="00582EEA"/>
    <w:rsid w:val="005835CE"/>
    <w:rsid w:val="00583634"/>
    <w:rsid w:val="00583651"/>
    <w:rsid w:val="005836FD"/>
    <w:rsid w:val="0058370F"/>
    <w:rsid w:val="005839FC"/>
    <w:rsid w:val="00583DA3"/>
    <w:rsid w:val="00583F3E"/>
    <w:rsid w:val="0058475E"/>
    <w:rsid w:val="00584AF3"/>
    <w:rsid w:val="00584B7C"/>
    <w:rsid w:val="00584EF4"/>
    <w:rsid w:val="00585258"/>
    <w:rsid w:val="0058571B"/>
    <w:rsid w:val="005858F5"/>
    <w:rsid w:val="0058612D"/>
    <w:rsid w:val="00586207"/>
    <w:rsid w:val="005862B0"/>
    <w:rsid w:val="00586578"/>
    <w:rsid w:val="005867DA"/>
    <w:rsid w:val="00586809"/>
    <w:rsid w:val="00586A33"/>
    <w:rsid w:val="00586B7D"/>
    <w:rsid w:val="00586C92"/>
    <w:rsid w:val="00586EA0"/>
    <w:rsid w:val="00586EC2"/>
    <w:rsid w:val="00586EE5"/>
    <w:rsid w:val="00587174"/>
    <w:rsid w:val="005872C1"/>
    <w:rsid w:val="005879CE"/>
    <w:rsid w:val="005879DD"/>
    <w:rsid w:val="005906C8"/>
    <w:rsid w:val="00590930"/>
    <w:rsid w:val="00590D4B"/>
    <w:rsid w:val="0059105A"/>
    <w:rsid w:val="0059108D"/>
    <w:rsid w:val="00591145"/>
    <w:rsid w:val="005911F0"/>
    <w:rsid w:val="005915A2"/>
    <w:rsid w:val="0059164B"/>
    <w:rsid w:val="0059171E"/>
    <w:rsid w:val="00591781"/>
    <w:rsid w:val="00591B16"/>
    <w:rsid w:val="00591FB2"/>
    <w:rsid w:val="005921AA"/>
    <w:rsid w:val="00592358"/>
    <w:rsid w:val="005923B6"/>
    <w:rsid w:val="005924EB"/>
    <w:rsid w:val="00592563"/>
    <w:rsid w:val="005926A8"/>
    <w:rsid w:val="00592923"/>
    <w:rsid w:val="00592E50"/>
    <w:rsid w:val="00592F74"/>
    <w:rsid w:val="00593520"/>
    <w:rsid w:val="00593667"/>
    <w:rsid w:val="00593762"/>
    <w:rsid w:val="00593785"/>
    <w:rsid w:val="0059397E"/>
    <w:rsid w:val="00593DEA"/>
    <w:rsid w:val="0059409E"/>
    <w:rsid w:val="0059420A"/>
    <w:rsid w:val="005942E0"/>
    <w:rsid w:val="00594825"/>
    <w:rsid w:val="00594A95"/>
    <w:rsid w:val="00594D22"/>
    <w:rsid w:val="0059533F"/>
    <w:rsid w:val="005953C8"/>
    <w:rsid w:val="005955CD"/>
    <w:rsid w:val="005956D7"/>
    <w:rsid w:val="00595CED"/>
    <w:rsid w:val="0059608D"/>
    <w:rsid w:val="00596198"/>
    <w:rsid w:val="00596460"/>
    <w:rsid w:val="005966F2"/>
    <w:rsid w:val="00596711"/>
    <w:rsid w:val="00596804"/>
    <w:rsid w:val="00597180"/>
    <w:rsid w:val="005972FC"/>
    <w:rsid w:val="00597371"/>
    <w:rsid w:val="00597449"/>
    <w:rsid w:val="005978A8"/>
    <w:rsid w:val="00597A5E"/>
    <w:rsid w:val="00597A67"/>
    <w:rsid w:val="00597ABC"/>
    <w:rsid w:val="00597AF0"/>
    <w:rsid w:val="00597B2A"/>
    <w:rsid w:val="00597BD3"/>
    <w:rsid w:val="00597DC7"/>
    <w:rsid w:val="00597E89"/>
    <w:rsid w:val="00597F8E"/>
    <w:rsid w:val="005A05D2"/>
    <w:rsid w:val="005A0F51"/>
    <w:rsid w:val="005A120F"/>
    <w:rsid w:val="005A13E8"/>
    <w:rsid w:val="005A1674"/>
    <w:rsid w:val="005A16C4"/>
    <w:rsid w:val="005A174C"/>
    <w:rsid w:val="005A1B5E"/>
    <w:rsid w:val="005A1C80"/>
    <w:rsid w:val="005A1D40"/>
    <w:rsid w:val="005A1E76"/>
    <w:rsid w:val="005A2097"/>
    <w:rsid w:val="005A21A0"/>
    <w:rsid w:val="005A26A4"/>
    <w:rsid w:val="005A2C1C"/>
    <w:rsid w:val="005A2C67"/>
    <w:rsid w:val="005A3981"/>
    <w:rsid w:val="005A3B78"/>
    <w:rsid w:val="005A3D3E"/>
    <w:rsid w:val="005A3D71"/>
    <w:rsid w:val="005A4011"/>
    <w:rsid w:val="005A40C2"/>
    <w:rsid w:val="005A42F6"/>
    <w:rsid w:val="005A4A7B"/>
    <w:rsid w:val="005A4B1A"/>
    <w:rsid w:val="005A4CBF"/>
    <w:rsid w:val="005A5689"/>
    <w:rsid w:val="005A570A"/>
    <w:rsid w:val="005A582F"/>
    <w:rsid w:val="005A583F"/>
    <w:rsid w:val="005A58F2"/>
    <w:rsid w:val="005A5B53"/>
    <w:rsid w:val="005A5CDC"/>
    <w:rsid w:val="005A6028"/>
    <w:rsid w:val="005A61E6"/>
    <w:rsid w:val="005A6429"/>
    <w:rsid w:val="005A64B5"/>
    <w:rsid w:val="005A65C7"/>
    <w:rsid w:val="005A6701"/>
    <w:rsid w:val="005A6A85"/>
    <w:rsid w:val="005A6CAA"/>
    <w:rsid w:val="005A6CBC"/>
    <w:rsid w:val="005A6F4A"/>
    <w:rsid w:val="005A707B"/>
    <w:rsid w:val="005A7159"/>
    <w:rsid w:val="005A7727"/>
    <w:rsid w:val="005A778C"/>
    <w:rsid w:val="005A7B9D"/>
    <w:rsid w:val="005B0155"/>
    <w:rsid w:val="005B06BB"/>
    <w:rsid w:val="005B0713"/>
    <w:rsid w:val="005B0970"/>
    <w:rsid w:val="005B0DC9"/>
    <w:rsid w:val="005B0EEB"/>
    <w:rsid w:val="005B14AF"/>
    <w:rsid w:val="005B168F"/>
    <w:rsid w:val="005B1E06"/>
    <w:rsid w:val="005B219B"/>
    <w:rsid w:val="005B221E"/>
    <w:rsid w:val="005B276E"/>
    <w:rsid w:val="005B27AE"/>
    <w:rsid w:val="005B28F7"/>
    <w:rsid w:val="005B2B5D"/>
    <w:rsid w:val="005B3178"/>
    <w:rsid w:val="005B3541"/>
    <w:rsid w:val="005B37E7"/>
    <w:rsid w:val="005B3B7B"/>
    <w:rsid w:val="005B3C9D"/>
    <w:rsid w:val="005B3EBD"/>
    <w:rsid w:val="005B4372"/>
    <w:rsid w:val="005B43B2"/>
    <w:rsid w:val="005B464F"/>
    <w:rsid w:val="005B4713"/>
    <w:rsid w:val="005B4719"/>
    <w:rsid w:val="005B474F"/>
    <w:rsid w:val="005B4947"/>
    <w:rsid w:val="005B4B65"/>
    <w:rsid w:val="005B5104"/>
    <w:rsid w:val="005B5152"/>
    <w:rsid w:val="005B5E98"/>
    <w:rsid w:val="005B6127"/>
    <w:rsid w:val="005B62BF"/>
    <w:rsid w:val="005B6D16"/>
    <w:rsid w:val="005B70BA"/>
    <w:rsid w:val="005B75C4"/>
    <w:rsid w:val="005B7637"/>
    <w:rsid w:val="005B7D48"/>
    <w:rsid w:val="005B7ED5"/>
    <w:rsid w:val="005C0620"/>
    <w:rsid w:val="005C06CB"/>
    <w:rsid w:val="005C07AA"/>
    <w:rsid w:val="005C08E4"/>
    <w:rsid w:val="005C0F61"/>
    <w:rsid w:val="005C102E"/>
    <w:rsid w:val="005C1DE2"/>
    <w:rsid w:val="005C2121"/>
    <w:rsid w:val="005C2566"/>
    <w:rsid w:val="005C2866"/>
    <w:rsid w:val="005C2B48"/>
    <w:rsid w:val="005C34D9"/>
    <w:rsid w:val="005C36CB"/>
    <w:rsid w:val="005C39B5"/>
    <w:rsid w:val="005C3FED"/>
    <w:rsid w:val="005C4213"/>
    <w:rsid w:val="005C4223"/>
    <w:rsid w:val="005C4B77"/>
    <w:rsid w:val="005C4C29"/>
    <w:rsid w:val="005C531C"/>
    <w:rsid w:val="005C5627"/>
    <w:rsid w:val="005C5BFE"/>
    <w:rsid w:val="005C5CE0"/>
    <w:rsid w:val="005C6056"/>
    <w:rsid w:val="005C6450"/>
    <w:rsid w:val="005C6641"/>
    <w:rsid w:val="005C686F"/>
    <w:rsid w:val="005C694B"/>
    <w:rsid w:val="005C6D7F"/>
    <w:rsid w:val="005C6FCC"/>
    <w:rsid w:val="005C6FEC"/>
    <w:rsid w:val="005C74A8"/>
    <w:rsid w:val="005C754C"/>
    <w:rsid w:val="005C7A6E"/>
    <w:rsid w:val="005C7AC5"/>
    <w:rsid w:val="005C7DB3"/>
    <w:rsid w:val="005D0112"/>
    <w:rsid w:val="005D0634"/>
    <w:rsid w:val="005D078A"/>
    <w:rsid w:val="005D0A25"/>
    <w:rsid w:val="005D0B43"/>
    <w:rsid w:val="005D0E24"/>
    <w:rsid w:val="005D0ED6"/>
    <w:rsid w:val="005D10A8"/>
    <w:rsid w:val="005D1172"/>
    <w:rsid w:val="005D13D1"/>
    <w:rsid w:val="005D15E9"/>
    <w:rsid w:val="005D1A80"/>
    <w:rsid w:val="005D1B8C"/>
    <w:rsid w:val="005D26C0"/>
    <w:rsid w:val="005D27F5"/>
    <w:rsid w:val="005D284B"/>
    <w:rsid w:val="005D2952"/>
    <w:rsid w:val="005D3183"/>
    <w:rsid w:val="005D392B"/>
    <w:rsid w:val="005D3999"/>
    <w:rsid w:val="005D3A29"/>
    <w:rsid w:val="005D3D4F"/>
    <w:rsid w:val="005D3EBF"/>
    <w:rsid w:val="005D3F33"/>
    <w:rsid w:val="005D4231"/>
    <w:rsid w:val="005D446C"/>
    <w:rsid w:val="005D44C5"/>
    <w:rsid w:val="005D47AA"/>
    <w:rsid w:val="005D493D"/>
    <w:rsid w:val="005D4ACF"/>
    <w:rsid w:val="005D4CD6"/>
    <w:rsid w:val="005D4D8C"/>
    <w:rsid w:val="005D535B"/>
    <w:rsid w:val="005D58F3"/>
    <w:rsid w:val="005D5B2C"/>
    <w:rsid w:val="005D6053"/>
    <w:rsid w:val="005D60C8"/>
    <w:rsid w:val="005D652B"/>
    <w:rsid w:val="005D6BC6"/>
    <w:rsid w:val="005D70F2"/>
    <w:rsid w:val="005D7273"/>
    <w:rsid w:val="005D7564"/>
    <w:rsid w:val="005D75A8"/>
    <w:rsid w:val="005D779F"/>
    <w:rsid w:val="005D787D"/>
    <w:rsid w:val="005D7A0D"/>
    <w:rsid w:val="005D7CB0"/>
    <w:rsid w:val="005D7E87"/>
    <w:rsid w:val="005E006B"/>
    <w:rsid w:val="005E00A5"/>
    <w:rsid w:val="005E0325"/>
    <w:rsid w:val="005E05A1"/>
    <w:rsid w:val="005E0795"/>
    <w:rsid w:val="005E0A23"/>
    <w:rsid w:val="005E0AF9"/>
    <w:rsid w:val="005E110F"/>
    <w:rsid w:val="005E160D"/>
    <w:rsid w:val="005E160F"/>
    <w:rsid w:val="005E175B"/>
    <w:rsid w:val="005E17D3"/>
    <w:rsid w:val="005E19FD"/>
    <w:rsid w:val="005E1E79"/>
    <w:rsid w:val="005E2263"/>
    <w:rsid w:val="005E2383"/>
    <w:rsid w:val="005E2568"/>
    <w:rsid w:val="005E2ABD"/>
    <w:rsid w:val="005E2D82"/>
    <w:rsid w:val="005E2DDE"/>
    <w:rsid w:val="005E301C"/>
    <w:rsid w:val="005E34C8"/>
    <w:rsid w:val="005E3846"/>
    <w:rsid w:val="005E386D"/>
    <w:rsid w:val="005E4103"/>
    <w:rsid w:val="005E4165"/>
    <w:rsid w:val="005E4729"/>
    <w:rsid w:val="005E47EA"/>
    <w:rsid w:val="005E4B45"/>
    <w:rsid w:val="005E4B80"/>
    <w:rsid w:val="005E4D8B"/>
    <w:rsid w:val="005E4FCF"/>
    <w:rsid w:val="005E5309"/>
    <w:rsid w:val="005E536F"/>
    <w:rsid w:val="005E56A1"/>
    <w:rsid w:val="005E5BEB"/>
    <w:rsid w:val="005E5D4B"/>
    <w:rsid w:val="005E65D7"/>
    <w:rsid w:val="005E6621"/>
    <w:rsid w:val="005E67FB"/>
    <w:rsid w:val="005E6811"/>
    <w:rsid w:val="005E6D95"/>
    <w:rsid w:val="005E6E33"/>
    <w:rsid w:val="005E6FBD"/>
    <w:rsid w:val="005E74F1"/>
    <w:rsid w:val="005E755E"/>
    <w:rsid w:val="005E7EF7"/>
    <w:rsid w:val="005E7F2E"/>
    <w:rsid w:val="005E7F9F"/>
    <w:rsid w:val="005F0011"/>
    <w:rsid w:val="005F05AF"/>
    <w:rsid w:val="005F06C0"/>
    <w:rsid w:val="005F06EA"/>
    <w:rsid w:val="005F0A81"/>
    <w:rsid w:val="005F0E10"/>
    <w:rsid w:val="005F0EBB"/>
    <w:rsid w:val="005F1104"/>
    <w:rsid w:val="005F15D0"/>
    <w:rsid w:val="005F1608"/>
    <w:rsid w:val="005F1700"/>
    <w:rsid w:val="005F1D6F"/>
    <w:rsid w:val="005F2548"/>
    <w:rsid w:val="005F26A0"/>
    <w:rsid w:val="005F34F6"/>
    <w:rsid w:val="005F3711"/>
    <w:rsid w:val="005F3989"/>
    <w:rsid w:val="005F3B8E"/>
    <w:rsid w:val="005F42C6"/>
    <w:rsid w:val="005F4739"/>
    <w:rsid w:val="005F4824"/>
    <w:rsid w:val="005F4910"/>
    <w:rsid w:val="005F49F3"/>
    <w:rsid w:val="005F4BCB"/>
    <w:rsid w:val="005F4CAD"/>
    <w:rsid w:val="005F4E79"/>
    <w:rsid w:val="005F4F80"/>
    <w:rsid w:val="005F51DE"/>
    <w:rsid w:val="005F59F6"/>
    <w:rsid w:val="005F5A27"/>
    <w:rsid w:val="005F5DF4"/>
    <w:rsid w:val="005F6195"/>
    <w:rsid w:val="005F6227"/>
    <w:rsid w:val="005F65FC"/>
    <w:rsid w:val="005F6E65"/>
    <w:rsid w:val="005F7D1F"/>
    <w:rsid w:val="005F7D29"/>
    <w:rsid w:val="005F7DC7"/>
    <w:rsid w:val="006003B8"/>
    <w:rsid w:val="006005EA"/>
    <w:rsid w:val="006006E8"/>
    <w:rsid w:val="00600943"/>
    <w:rsid w:val="0060098C"/>
    <w:rsid w:val="00600B0D"/>
    <w:rsid w:val="00600B36"/>
    <w:rsid w:val="006013CD"/>
    <w:rsid w:val="006017F0"/>
    <w:rsid w:val="006019C3"/>
    <w:rsid w:val="00601BCE"/>
    <w:rsid w:val="00601C69"/>
    <w:rsid w:val="0060251B"/>
    <w:rsid w:val="006025E0"/>
    <w:rsid w:val="00602848"/>
    <w:rsid w:val="0060293B"/>
    <w:rsid w:val="00602A98"/>
    <w:rsid w:val="00602B47"/>
    <w:rsid w:val="00602C8B"/>
    <w:rsid w:val="00602EC5"/>
    <w:rsid w:val="006030C4"/>
    <w:rsid w:val="006032BA"/>
    <w:rsid w:val="00603806"/>
    <w:rsid w:val="00603B68"/>
    <w:rsid w:val="00603FE6"/>
    <w:rsid w:val="0060442E"/>
    <w:rsid w:val="00604857"/>
    <w:rsid w:val="0060485C"/>
    <w:rsid w:val="006048B0"/>
    <w:rsid w:val="00604A3A"/>
    <w:rsid w:val="00604CCA"/>
    <w:rsid w:val="00604E69"/>
    <w:rsid w:val="00605037"/>
    <w:rsid w:val="00605540"/>
    <w:rsid w:val="00605F29"/>
    <w:rsid w:val="0060644F"/>
    <w:rsid w:val="006067B0"/>
    <w:rsid w:val="0060690D"/>
    <w:rsid w:val="00606DC2"/>
    <w:rsid w:val="00606E84"/>
    <w:rsid w:val="0060711C"/>
    <w:rsid w:val="006072CD"/>
    <w:rsid w:val="00607668"/>
    <w:rsid w:val="00607AB8"/>
    <w:rsid w:val="00607CC4"/>
    <w:rsid w:val="00610118"/>
    <w:rsid w:val="006101EA"/>
    <w:rsid w:val="006102B7"/>
    <w:rsid w:val="00610444"/>
    <w:rsid w:val="00610654"/>
    <w:rsid w:val="006109B3"/>
    <w:rsid w:val="00610A7A"/>
    <w:rsid w:val="00610EE9"/>
    <w:rsid w:val="00610F37"/>
    <w:rsid w:val="006110CD"/>
    <w:rsid w:val="006113A5"/>
    <w:rsid w:val="00611480"/>
    <w:rsid w:val="006116F8"/>
    <w:rsid w:val="00611BBC"/>
    <w:rsid w:val="00611DE5"/>
    <w:rsid w:val="00612286"/>
    <w:rsid w:val="0061248C"/>
    <w:rsid w:val="00612823"/>
    <w:rsid w:val="00613159"/>
    <w:rsid w:val="00613204"/>
    <w:rsid w:val="00613297"/>
    <w:rsid w:val="00613AB3"/>
    <w:rsid w:val="00613B5B"/>
    <w:rsid w:val="00613DA2"/>
    <w:rsid w:val="00613E7D"/>
    <w:rsid w:val="006141D5"/>
    <w:rsid w:val="0061422D"/>
    <w:rsid w:val="006142A1"/>
    <w:rsid w:val="00614AE1"/>
    <w:rsid w:val="00614B97"/>
    <w:rsid w:val="00614E84"/>
    <w:rsid w:val="00614F7E"/>
    <w:rsid w:val="00615382"/>
    <w:rsid w:val="006155C5"/>
    <w:rsid w:val="006158AF"/>
    <w:rsid w:val="00615B31"/>
    <w:rsid w:val="00615BD7"/>
    <w:rsid w:val="00615E01"/>
    <w:rsid w:val="00615F7E"/>
    <w:rsid w:val="00616051"/>
    <w:rsid w:val="006160ED"/>
    <w:rsid w:val="00616227"/>
    <w:rsid w:val="006166B8"/>
    <w:rsid w:val="00616879"/>
    <w:rsid w:val="00616945"/>
    <w:rsid w:val="006169A3"/>
    <w:rsid w:val="0061719D"/>
    <w:rsid w:val="006172BB"/>
    <w:rsid w:val="00617801"/>
    <w:rsid w:val="00617973"/>
    <w:rsid w:val="0061798D"/>
    <w:rsid w:val="00617A9C"/>
    <w:rsid w:val="00617EBE"/>
    <w:rsid w:val="0062028F"/>
    <w:rsid w:val="0062031A"/>
    <w:rsid w:val="006203DB"/>
    <w:rsid w:val="006209EF"/>
    <w:rsid w:val="00620D5D"/>
    <w:rsid w:val="00620D71"/>
    <w:rsid w:val="00620F51"/>
    <w:rsid w:val="00621019"/>
    <w:rsid w:val="0062150F"/>
    <w:rsid w:val="006218B6"/>
    <w:rsid w:val="00621E1D"/>
    <w:rsid w:val="00621E21"/>
    <w:rsid w:val="0062219D"/>
    <w:rsid w:val="006221FA"/>
    <w:rsid w:val="00622333"/>
    <w:rsid w:val="00622667"/>
    <w:rsid w:val="006226F6"/>
    <w:rsid w:val="00622948"/>
    <w:rsid w:val="00622A10"/>
    <w:rsid w:val="00622A3E"/>
    <w:rsid w:val="00622B24"/>
    <w:rsid w:val="00622B26"/>
    <w:rsid w:val="00622E12"/>
    <w:rsid w:val="006230BC"/>
    <w:rsid w:val="0062334C"/>
    <w:rsid w:val="00623AF1"/>
    <w:rsid w:val="00623D5B"/>
    <w:rsid w:val="00623E3E"/>
    <w:rsid w:val="006240F0"/>
    <w:rsid w:val="00624176"/>
    <w:rsid w:val="006243D6"/>
    <w:rsid w:val="00624436"/>
    <w:rsid w:val="00624544"/>
    <w:rsid w:val="006247D8"/>
    <w:rsid w:val="00624A67"/>
    <w:rsid w:val="00625295"/>
    <w:rsid w:val="00625379"/>
    <w:rsid w:val="00625B6E"/>
    <w:rsid w:val="00625D30"/>
    <w:rsid w:val="006263C3"/>
    <w:rsid w:val="00626570"/>
    <w:rsid w:val="00626A08"/>
    <w:rsid w:val="00626C00"/>
    <w:rsid w:val="00626CF8"/>
    <w:rsid w:val="00626F85"/>
    <w:rsid w:val="00627A18"/>
    <w:rsid w:val="0063016F"/>
    <w:rsid w:val="00630579"/>
    <w:rsid w:val="0063067B"/>
    <w:rsid w:val="00630774"/>
    <w:rsid w:val="00630ABA"/>
    <w:rsid w:val="00630D87"/>
    <w:rsid w:val="00631009"/>
    <w:rsid w:val="00631067"/>
    <w:rsid w:val="006310A1"/>
    <w:rsid w:val="00631447"/>
    <w:rsid w:val="0063168B"/>
    <w:rsid w:val="006319B4"/>
    <w:rsid w:val="00631AD0"/>
    <w:rsid w:val="00631ADF"/>
    <w:rsid w:val="00631B26"/>
    <w:rsid w:val="00631F8F"/>
    <w:rsid w:val="0063236A"/>
    <w:rsid w:val="00632412"/>
    <w:rsid w:val="0063292F"/>
    <w:rsid w:val="00632CC3"/>
    <w:rsid w:val="006335C7"/>
    <w:rsid w:val="006337C5"/>
    <w:rsid w:val="006337E7"/>
    <w:rsid w:val="00633991"/>
    <w:rsid w:val="00633A3A"/>
    <w:rsid w:val="00633C93"/>
    <w:rsid w:val="00633DE9"/>
    <w:rsid w:val="00634166"/>
    <w:rsid w:val="006345AA"/>
    <w:rsid w:val="006347BE"/>
    <w:rsid w:val="00634944"/>
    <w:rsid w:val="00635248"/>
    <w:rsid w:val="006352EF"/>
    <w:rsid w:val="0063564E"/>
    <w:rsid w:val="006356BD"/>
    <w:rsid w:val="006359F9"/>
    <w:rsid w:val="00636762"/>
    <w:rsid w:val="006367A8"/>
    <w:rsid w:val="00636819"/>
    <w:rsid w:val="006368B9"/>
    <w:rsid w:val="00636B4D"/>
    <w:rsid w:val="00636E38"/>
    <w:rsid w:val="006373B7"/>
    <w:rsid w:val="006378E0"/>
    <w:rsid w:val="00637965"/>
    <w:rsid w:val="00637A3B"/>
    <w:rsid w:val="00637A47"/>
    <w:rsid w:val="00637F79"/>
    <w:rsid w:val="0064014B"/>
    <w:rsid w:val="00640631"/>
    <w:rsid w:val="0064092E"/>
    <w:rsid w:val="00641043"/>
    <w:rsid w:val="00641061"/>
    <w:rsid w:val="0064122C"/>
    <w:rsid w:val="00641376"/>
    <w:rsid w:val="006415E0"/>
    <w:rsid w:val="00641B6D"/>
    <w:rsid w:val="00641E7A"/>
    <w:rsid w:val="0064205B"/>
    <w:rsid w:val="00642209"/>
    <w:rsid w:val="00642340"/>
    <w:rsid w:val="00642354"/>
    <w:rsid w:val="006424DE"/>
    <w:rsid w:val="00642819"/>
    <w:rsid w:val="00642F9E"/>
    <w:rsid w:val="00642FEB"/>
    <w:rsid w:val="00643256"/>
    <w:rsid w:val="0064355D"/>
    <w:rsid w:val="0064371F"/>
    <w:rsid w:val="00643A55"/>
    <w:rsid w:val="00643E9B"/>
    <w:rsid w:val="00644037"/>
    <w:rsid w:val="00644280"/>
    <w:rsid w:val="0064463C"/>
    <w:rsid w:val="0064469D"/>
    <w:rsid w:val="00644750"/>
    <w:rsid w:val="006448B6"/>
    <w:rsid w:val="00644AE2"/>
    <w:rsid w:val="00644E77"/>
    <w:rsid w:val="006450E2"/>
    <w:rsid w:val="006451CD"/>
    <w:rsid w:val="0064533E"/>
    <w:rsid w:val="006453EC"/>
    <w:rsid w:val="00645417"/>
    <w:rsid w:val="006455D1"/>
    <w:rsid w:val="006458DF"/>
    <w:rsid w:val="00645926"/>
    <w:rsid w:val="00645DF1"/>
    <w:rsid w:val="00645E23"/>
    <w:rsid w:val="00645EAE"/>
    <w:rsid w:val="00646071"/>
    <w:rsid w:val="006466BE"/>
    <w:rsid w:val="0064673B"/>
    <w:rsid w:val="006468B2"/>
    <w:rsid w:val="006469A2"/>
    <w:rsid w:val="00646BD7"/>
    <w:rsid w:val="00646CAC"/>
    <w:rsid w:val="006470AA"/>
    <w:rsid w:val="006473C9"/>
    <w:rsid w:val="00647609"/>
    <w:rsid w:val="00647610"/>
    <w:rsid w:val="006476C8"/>
    <w:rsid w:val="006478FF"/>
    <w:rsid w:val="00647D05"/>
    <w:rsid w:val="00647F31"/>
    <w:rsid w:val="00647F32"/>
    <w:rsid w:val="00650028"/>
    <w:rsid w:val="0065057D"/>
    <w:rsid w:val="00650725"/>
    <w:rsid w:val="0065077E"/>
    <w:rsid w:val="006508CA"/>
    <w:rsid w:val="00650DBF"/>
    <w:rsid w:val="0065116E"/>
    <w:rsid w:val="006521C8"/>
    <w:rsid w:val="0065292D"/>
    <w:rsid w:val="00652B5B"/>
    <w:rsid w:val="00652C17"/>
    <w:rsid w:val="00652CB4"/>
    <w:rsid w:val="00652D71"/>
    <w:rsid w:val="00652D73"/>
    <w:rsid w:val="00652D9F"/>
    <w:rsid w:val="006530B1"/>
    <w:rsid w:val="006532D2"/>
    <w:rsid w:val="0065348B"/>
    <w:rsid w:val="00653550"/>
    <w:rsid w:val="006535D4"/>
    <w:rsid w:val="0065363A"/>
    <w:rsid w:val="0065388A"/>
    <w:rsid w:val="00653A49"/>
    <w:rsid w:val="00653B33"/>
    <w:rsid w:val="00653E76"/>
    <w:rsid w:val="00653F07"/>
    <w:rsid w:val="006540C6"/>
    <w:rsid w:val="006548FF"/>
    <w:rsid w:val="00654A32"/>
    <w:rsid w:val="00654B13"/>
    <w:rsid w:val="00654BF0"/>
    <w:rsid w:val="00654CCC"/>
    <w:rsid w:val="00654EF8"/>
    <w:rsid w:val="00654FF1"/>
    <w:rsid w:val="006551B4"/>
    <w:rsid w:val="006555AE"/>
    <w:rsid w:val="00655670"/>
    <w:rsid w:val="00655676"/>
    <w:rsid w:val="0065576F"/>
    <w:rsid w:val="00655A9E"/>
    <w:rsid w:val="006562C9"/>
    <w:rsid w:val="006568BE"/>
    <w:rsid w:val="00656942"/>
    <w:rsid w:val="00656A17"/>
    <w:rsid w:val="00656E92"/>
    <w:rsid w:val="00656ED0"/>
    <w:rsid w:val="00656F9E"/>
    <w:rsid w:val="006570B0"/>
    <w:rsid w:val="006575BA"/>
    <w:rsid w:val="00657A53"/>
    <w:rsid w:val="00657C55"/>
    <w:rsid w:val="00657D06"/>
    <w:rsid w:val="00657D0F"/>
    <w:rsid w:val="00657DCA"/>
    <w:rsid w:val="00657DED"/>
    <w:rsid w:val="00657F2B"/>
    <w:rsid w:val="006606A4"/>
    <w:rsid w:val="00660772"/>
    <w:rsid w:val="006607EF"/>
    <w:rsid w:val="00660F92"/>
    <w:rsid w:val="006610ED"/>
    <w:rsid w:val="0066119F"/>
    <w:rsid w:val="0066130E"/>
    <w:rsid w:val="00661367"/>
    <w:rsid w:val="0066174B"/>
    <w:rsid w:val="00661872"/>
    <w:rsid w:val="00661B83"/>
    <w:rsid w:val="0066206B"/>
    <w:rsid w:val="006630ED"/>
    <w:rsid w:val="0066329F"/>
    <w:rsid w:val="006633E6"/>
    <w:rsid w:val="00663FA8"/>
    <w:rsid w:val="00664169"/>
    <w:rsid w:val="006641B1"/>
    <w:rsid w:val="00664211"/>
    <w:rsid w:val="00664CEF"/>
    <w:rsid w:val="00664E1A"/>
    <w:rsid w:val="00664FEB"/>
    <w:rsid w:val="006651B4"/>
    <w:rsid w:val="00665317"/>
    <w:rsid w:val="00665407"/>
    <w:rsid w:val="00665685"/>
    <w:rsid w:val="00665720"/>
    <w:rsid w:val="006658F2"/>
    <w:rsid w:val="00665E78"/>
    <w:rsid w:val="00665EBA"/>
    <w:rsid w:val="006660FE"/>
    <w:rsid w:val="0066639E"/>
    <w:rsid w:val="0066677A"/>
    <w:rsid w:val="0066683F"/>
    <w:rsid w:val="00666AAB"/>
    <w:rsid w:val="00666E8A"/>
    <w:rsid w:val="0066723E"/>
    <w:rsid w:val="006673DA"/>
    <w:rsid w:val="00667467"/>
    <w:rsid w:val="00667CC4"/>
    <w:rsid w:val="00670160"/>
    <w:rsid w:val="006701F4"/>
    <w:rsid w:val="006703AB"/>
    <w:rsid w:val="00670778"/>
    <w:rsid w:val="0067089F"/>
    <w:rsid w:val="00670E26"/>
    <w:rsid w:val="006710D3"/>
    <w:rsid w:val="00671370"/>
    <w:rsid w:val="00671448"/>
    <w:rsid w:val="0067144C"/>
    <w:rsid w:val="006718FE"/>
    <w:rsid w:val="00671AA8"/>
    <w:rsid w:val="00671BF5"/>
    <w:rsid w:val="00671C3A"/>
    <w:rsid w:val="0067214C"/>
    <w:rsid w:val="0067215D"/>
    <w:rsid w:val="00672391"/>
    <w:rsid w:val="0067245D"/>
    <w:rsid w:val="0067267D"/>
    <w:rsid w:val="006726A4"/>
    <w:rsid w:val="00672FCF"/>
    <w:rsid w:val="00673304"/>
    <w:rsid w:val="00673630"/>
    <w:rsid w:val="00673761"/>
    <w:rsid w:val="0067385C"/>
    <w:rsid w:val="00673B5F"/>
    <w:rsid w:val="00673CB1"/>
    <w:rsid w:val="00673DB9"/>
    <w:rsid w:val="00673F8D"/>
    <w:rsid w:val="00674213"/>
    <w:rsid w:val="00674691"/>
    <w:rsid w:val="006747A0"/>
    <w:rsid w:val="006747FD"/>
    <w:rsid w:val="00674F92"/>
    <w:rsid w:val="00675000"/>
    <w:rsid w:val="00675181"/>
    <w:rsid w:val="00675391"/>
    <w:rsid w:val="00675F26"/>
    <w:rsid w:val="006764B0"/>
    <w:rsid w:val="006769AA"/>
    <w:rsid w:val="00676AE3"/>
    <w:rsid w:val="00676DAB"/>
    <w:rsid w:val="00677081"/>
    <w:rsid w:val="006770A9"/>
    <w:rsid w:val="00677257"/>
    <w:rsid w:val="0067730E"/>
    <w:rsid w:val="00677366"/>
    <w:rsid w:val="006775AA"/>
    <w:rsid w:val="006776D2"/>
    <w:rsid w:val="006777DB"/>
    <w:rsid w:val="006777DF"/>
    <w:rsid w:val="00677C91"/>
    <w:rsid w:val="00680237"/>
    <w:rsid w:val="006802B2"/>
    <w:rsid w:val="00680BCD"/>
    <w:rsid w:val="00680EE9"/>
    <w:rsid w:val="00681079"/>
    <w:rsid w:val="00681095"/>
    <w:rsid w:val="006810C2"/>
    <w:rsid w:val="006811A3"/>
    <w:rsid w:val="006811ED"/>
    <w:rsid w:val="006812FD"/>
    <w:rsid w:val="0068162C"/>
    <w:rsid w:val="006816C5"/>
    <w:rsid w:val="0068182A"/>
    <w:rsid w:val="006820F8"/>
    <w:rsid w:val="00682176"/>
    <w:rsid w:val="006822A0"/>
    <w:rsid w:val="00682488"/>
    <w:rsid w:val="006826DF"/>
    <w:rsid w:val="006827BB"/>
    <w:rsid w:val="006828F3"/>
    <w:rsid w:val="00682907"/>
    <w:rsid w:val="006829ED"/>
    <w:rsid w:val="00682B74"/>
    <w:rsid w:val="00682DFE"/>
    <w:rsid w:val="00683308"/>
    <w:rsid w:val="0068335E"/>
    <w:rsid w:val="006835FC"/>
    <w:rsid w:val="006836C5"/>
    <w:rsid w:val="00683975"/>
    <w:rsid w:val="00683B7D"/>
    <w:rsid w:val="00683C0E"/>
    <w:rsid w:val="00683D71"/>
    <w:rsid w:val="00683F7B"/>
    <w:rsid w:val="00684032"/>
    <w:rsid w:val="006840E2"/>
    <w:rsid w:val="00684216"/>
    <w:rsid w:val="00684582"/>
    <w:rsid w:val="006845F2"/>
    <w:rsid w:val="0068489A"/>
    <w:rsid w:val="006848BC"/>
    <w:rsid w:val="00684997"/>
    <w:rsid w:val="00684AC4"/>
    <w:rsid w:val="00684BD8"/>
    <w:rsid w:val="00684FCF"/>
    <w:rsid w:val="0068531E"/>
    <w:rsid w:val="00685537"/>
    <w:rsid w:val="0068553D"/>
    <w:rsid w:val="0068558D"/>
    <w:rsid w:val="00685632"/>
    <w:rsid w:val="0068607E"/>
    <w:rsid w:val="00686416"/>
    <w:rsid w:val="0068654F"/>
    <w:rsid w:val="0068690F"/>
    <w:rsid w:val="00686B26"/>
    <w:rsid w:val="00686C9B"/>
    <w:rsid w:val="00687BDD"/>
    <w:rsid w:val="00687EE4"/>
    <w:rsid w:val="00687F05"/>
    <w:rsid w:val="00690578"/>
    <w:rsid w:val="006906D6"/>
    <w:rsid w:val="006906D7"/>
    <w:rsid w:val="006908D6"/>
    <w:rsid w:val="006908F9"/>
    <w:rsid w:val="00690D24"/>
    <w:rsid w:val="0069102F"/>
    <w:rsid w:val="00691802"/>
    <w:rsid w:val="00691947"/>
    <w:rsid w:val="00691A9A"/>
    <w:rsid w:val="00691C06"/>
    <w:rsid w:val="00691C17"/>
    <w:rsid w:val="006920DC"/>
    <w:rsid w:val="00692157"/>
    <w:rsid w:val="00692746"/>
    <w:rsid w:val="00692992"/>
    <w:rsid w:val="00692A52"/>
    <w:rsid w:val="00692D9D"/>
    <w:rsid w:val="00692DA8"/>
    <w:rsid w:val="00693186"/>
    <w:rsid w:val="00693852"/>
    <w:rsid w:val="00693FA6"/>
    <w:rsid w:val="006940CF"/>
    <w:rsid w:val="0069415F"/>
    <w:rsid w:val="0069455B"/>
    <w:rsid w:val="00694912"/>
    <w:rsid w:val="006953B6"/>
    <w:rsid w:val="006955E2"/>
    <w:rsid w:val="006955E8"/>
    <w:rsid w:val="00695C44"/>
    <w:rsid w:val="00695D6F"/>
    <w:rsid w:val="00695F31"/>
    <w:rsid w:val="0069615F"/>
    <w:rsid w:val="00696398"/>
    <w:rsid w:val="0069646C"/>
    <w:rsid w:val="00696A57"/>
    <w:rsid w:val="00696CA1"/>
    <w:rsid w:val="00697020"/>
    <w:rsid w:val="00697042"/>
    <w:rsid w:val="006973F7"/>
    <w:rsid w:val="00697513"/>
    <w:rsid w:val="0069798F"/>
    <w:rsid w:val="006979CE"/>
    <w:rsid w:val="00697BE4"/>
    <w:rsid w:val="006A01A3"/>
    <w:rsid w:val="006A03B6"/>
    <w:rsid w:val="006A088E"/>
    <w:rsid w:val="006A094F"/>
    <w:rsid w:val="006A09B4"/>
    <w:rsid w:val="006A0A1A"/>
    <w:rsid w:val="006A0E86"/>
    <w:rsid w:val="006A11BE"/>
    <w:rsid w:val="006A165F"/>
    <w:rsid w:val="006A16E5"/>
    <w:rsid w:val="006A1789"/>
    <w:rsid w:val="006A18CA"/>
    <w:rsid w:val="006A1A34"/>
    <w:rsid w:val="006A1A7C"/>
    <w:rsid w:val="006A1AFF"/>
    <w:rsid w:val="006A1B44"/>
    <w:rsid w:val="006A1E99"/>
    <w:rsid w:val="006A1FED"/>
    <w:rsid w:val="006A22F7"/>
    <w:rsid w:val="006A25F9"/>
    <w:rsid w:val="006A2B10"/>
    <w:rsid w:val="006A32F0"/>
    <w:rsid w:val="006A3539"/>
    <w:rsid w:val="006A37D0"/>
    <w:rsid w:val="006A3A45"/>
    <w:rsid w:val="006A3B78"/>
    <w:rsid w:val="006A3B80"/>
    <w:rsid w:val="006A3BD4"/>
    <w:rsid w:val="006A3E57"/>
    <w:rsid w:val="006A4B2A"/>
    <w:rsid w:val="006A4E9A"/>
    <w:rsid w:val="006A4EAB"/>
    <w:rsid w:val="006A55DB"/>
    <w:rsid w:val="006A5738"/>
    <w:rsid w:val="006A585B"/>
    <w:rsid w:val="006A5D0E"/>
    <w:rsid w:val="006A5D5F"/>
    <w:rsid w:val="006A6344"/>
    <w:rsid w:val="006A63A7"/>
    <w:rsid w:val="006A691E"/>
    <w:rsid w:val="006A69EF"/>
    <w:rsid w:val="006A6B93"/>
    <w:rsid w:val="006A6FDE"/>
    <w:rsid w:val="006A703B"/>
    <w:rsid w:val="006A722F"/>
    <w:rsid w:val="006A7284"/>
    <w:rsid w:val="006A72E0"/>
    <w:rsid w:val="006A754A"/>
    <w:rsid w:val="006A76C3"/>
    <w:rsid w:val="006A7C61"/>
    <w:rsid w:val="006B0419"/>
    <w:rsid w:val="006B0D66"/>
    <w:rsid w:val="006B0F6A"/>
    <w:rsid w:val="006B1387"/>
    <w:rsid w:val="006B13ED"/>
    <w:rsid w:val="006B173F"/>
    <w:rsid w:val="006B1ACC"/>
    <w:rsid w:val="006B1C3F"/>
    <w:rsid w:val="006B1C5B"/>
    <w:rsid w:val="006B1C75"/>
    <w:rsid w:val="006B1CAE"/>
    <w:rsid w:val="006B1CC2"/>
    <w:rsid w:val="006B1D24"/>
    <w:rsid w:val="006B28DB"/>
    <w:rsid w:val="006B2922"/>
    <w:rsid w:val="006B2AC1"/>
    <w:rsid w:val="006B314F"/>
    <w:rsid w:val="006B3672"/>
    <w:rsid w:val="006B37E2"/>
    <w:rsid w:val="006B399A"/>
    <w:rsid w:val="006B3B61"/>
    <w:rsid w:val="006B3E25"/>
    <w:rsid w:val="006B4245"/>
    <w:rsid w:val="006B4A8A"/>
    <w:rsid w:val="006B4C0E"/>
    <w:rsid w:val="006B4EE7"/>
    <w:rsid w:val="006B527B"/>
    <w:rsid w:val="006B5593"/>
    <w:rsid w:val="006B5719"/>
    <w:rsid w:val="006B6054"/>
    <w:rsid w:val="006B60D7"/>
    <w:rsid w:val="006B6228"/>
    <w:rsid w:val="006B6481"/>
    <w:rsid w:val="006B6860"/>
    <w:rsid w:val="006B68D2"/>
    <w:rsid w:val="006B69A8"/>
    <w:rsid w:val="006B6C94"/>
    <w:rsid w:val="006B6DD6"/>
    <w:rsid w:val="006B7AA7"/>
    <w:rsid w:val="006B7F28"/>
    <w:rsid w:val="006B7F76"/>
    <w:rsid w:val="006B7FF3"/>
    <w:rsid w:val="006C0380"/>
    <w:rsid w:val="006C0465"/>
    <w:rsid w:val="006C07C6"/>
    <w:rsid w:val="006C07E2"/>
    <w:rsid w:val="006C083C"/>
    <w:rsid w:val="006C0908"/>
    <w:rsid w:val="006C09C0"/>
    <w:rsid w:val="006C0BCA"/>
    <w:rsid w:val="006C0E16"/>
    <w:rsid w:val="006C11DC"/>
    <w:rsid w:val="006C13BB"/>
    <w:rsid w:val="006C148D"/>
    <w:rsid w:val="006C14FD"/>
    <w:rsid w:val="006C180C"/>
    <w:rsid w:val="006C2180"/>
    <w:rsid w:val="006C2267"/>
    <w:rsid w:val="006C25AA"/>
    <w:rsid w:val="006C2A58"/>
    <w:rsid w:val="006C2E0D"/>
    <w:rsid w:val="006C2E3C"/>
    <w:rsid w:val="006C328F"/>
    <w:rsid w:val="006C3722"/>
    <w:rsid w:val="006C3A82"/>
    <w:rsid w:val="006C3DA8"/>
    <w:rsid w:val="006C440D"/>
    <w:rsid w:val="006C441C"/>
    <w:rsid w:val="006C442D"/>
    <w:rsid w:val="006C4BB7"/>
    <w:rsid w:val="006C4F56"/>
    <w:rsid w:val="006C4F60"/>
    <w:rsid w:val="006C528D"/>
    <w:rsid w:val="006C57A1"/>
    <w:rsid w:val="006C589D"/>
    <w:rsid w:val="006C5C78"/>
    <w:rsid w:val="006C5C7B"/>
    <w:rsid w:val="006C5F42"/>
    <w:rsid w:val="006C5FEC"/>
    <w:rsid w:val="006C61C9"/>
    <w:rsid w:val="006C6261"/>
    <w:rsid w:val="006C6304"/>
    <w:rsid w:val="006C6341"/>
    <w:rsid w:val="006C6639"/>
    <w:rsid w:val="006C67C3"/>
    <w:rsid w:val="006C67CA"/>
    <w:rsid w:val="006C689B"/>
    <w:rsid w:val="006C6F04"/>
    <w:rsid w:val="006C7101"/>
    <w:rsid w:val="006C7186"/>
    <w:rsid w:val="006C7232"/>
    <w:rsid w:val="006C7258"/>
    <w:rsid w:val="006C72A6"/>
    <w:rsid w:val="006C74D9"/>
    <w:rsid w:val="006C7E5A"/>
    <w:rsid w:val="006D0110"/>
    <w:rsid w:val="006D0224"/>
    <w:rsid w:val="006D0E09"/>
    <w:rsid w:val="006D16A7"/>
    <w:rsid w:val="006D170C"/>
    <w:rsid w:val="006D1833"/>
    <w:rsid w:val="006D195C"/>
    <w:rsid w:val="006D1B2A"/>
    <w:rsid w:val="006D1C6A"/>
    <w:rsid w:val="006D2058"/>
    <w:rsid w:val="006D213F"/>
    <w:rsid w:val="006D2244"/>
    <w:rsid w:val="006D2308"/>
    <w:rsid w:val="006D239D"/>
    <w:rsid w:val="006D243B"/>
    <w:rsid w:val="006D31C0"/>
    <w:rsid w:val="006D3922"/>
    <w:rsid w:val="006D3A70"/>
    <w:rsid w:val="006D3AE0"/>
    <w:rsid w:val="006D3D12"/>
    <w:rsid w:val="006D3EE2"/>
    <w:rsid w:val="006D45A9"/>
    <w:rsid w:val="006D4E7D"/>
    <w:rsid w:val="006D4EBB"/>
    <w:rsid w:val="006D4ECF"/>
    <w:rsid w:val="006D5036"/>
    <w:rsid w:val="006D5106"/>
    <w:rsid w:val="006D52C2"/>
    <w:rsid w:val="006D55D7"/>
    <w:rsid w:val="006D5895"/>
    <w:rsid w:val="006D58F9"/>
    <w:rsid w:val="006D5DB8"/>
    <w:rsid w:val="006D5DC4"/>
    <w:rsid w:val="006D5F79"/>
    <w:rsid w:val="006D650E"/>
    <w:rsid w:val="006D6597"/>
    <w:rsid w:val="006D6890"/>
    <w:rsid w:val="006D6BED"/>
    <w:rsid w:val="006D6D25"/>
    <w:rsid w:val="006D6DC0"/>
    <w:rsid w:val="006D745D"/>
    <w:rsid w:val="006D74B6"/>
    <w:rsid w:val="006D7554"/>
    <w:rsid w:val="006D7DC8"/>
    <w:rsid w:val="006D7E24"/>
    <w:rsid w:val="006E057D"/>
    <w:rsid w:val="006E0600"/>
    <w:rsid w:val="006E06BA"/>
    <w:rsid w:val="006E0953"/>
    <w:rsid w:val="006E09BC"/>
    <w:rsid w:val="006E0AAA"/>
    <w:rsid w:val="006E0B59"/>
    <w:rsid w:val="006E12DF"/>
    <w:rsid w:val="006E15B2"/>
    <w:rsid w:val="006E15C2"/>
    <w:rsid w:val="006E17C3"/>
    <w:rsid w:val="006E1A69"/>
    <w:rsid w:val="006E1CED"/>
    <w:rsid w:val="006E1EB3"/>
    <w:rsid w:val="006E2646"/>
    <w:rsid w:val="006E2898"/>
    <w:rsid w:val="006E2BD3"/>
    <w:rsid w:val="006E2CE4"/>
    <w:rsid w:val="006E2E5E"/>
    <w:rsid w:val="006E2EB3"/>
    <w:rsid w:val="006E30A3"/>
    <w:rsid w:val="006E31C7"/>
    <w:rsid w:val="006E3320"/>
    <w:rsid w:val="006E334E"/>
    <w:rsid w:val="006E33C8"/>
    <w:rsid w:val="006E345C"/>
    <w:rsid w:val="006E3588"/>
    <w:rsid w:val="006E369A"/>
    <w:rsid w:val="006E3FA2"/>
    <w:rsid w:val="006E40DE"/>
    <w:rsid w:val="006E4166"/>
    <w:rsid w:val="006E46A8"/>
    <w:rsid w:val="006E5111"/>
    <w:rsid w:val="006E52C7"/>
    <w:rsid w:val="006E5408"/>
    <w:rsid w:val="006E56C5"/>
    <w:rsid w:val="006E577D"/>
    <w:rsid w:val="006E584C"/>
    <w:rsid w:val="006E5C58"/>
    <w:rsid w:val="006E5C80"/>
    <w:rsid w:val="006E5EA2"/>
    <w:rsid w:val="006E5F2A"/>
    <w:rsid w:val="006E5F7C"/>
    <w:rsid w:val="006E6055"/>
    <w:rsid w:val="006E615E"/>
    <w:rsid w:val="006E6186"/>
    <w:rsid w:val="006E64BC"/>
    <w:rsid w:val="006E66B9"/>
    <w:rsid w:val="006E69D5"/>
    <w:rsid w:val="006E6C7B"/>
    <w:rsid w:val="006E6C85"/>
    <w:rsid w:val="006E6DC9"/>
    <w:rsid w:val="006E6E58"/>
    <w:rsid w:val="006E7328"/>
    <w:rsid w:val="006E7EB4"/>
    <w:rsid w:val="006E7FC2"/>
    <w:rsid w:val="006F024E"/>
    <w:rsid w:val="006F0493"/>
    <w:rsid w:val="006F0588"/>
    <w:rsid w:val="006F05F3"/>
    <w:rsid w:val="006F0C18"/>
    <w:rsid w:val="006F10EF"/>
    <w:rsid w:val="006F17C2"/>
    <w:rsid w:val="006F19D4"/>
    <w:rsid w:val="006F1B61"/>
    <w:rsid w:val="006F208A"/>
    <w:rsid w:val="006F237C"/>
    <w:rsid w:val="006F24AC"/>
    <w:rsid w:val="006F271D"/>
    <w:rsid w:val="006F27F2"/>
    <w:rsid w:val="006F291B"/>
    <w:rsid w:val="006F2A34"/>
    <w:rsid w:val="006F2AE8"/>
    <w:rsid w:val="006F2CDB"/>
    <w:rsid w:val="006F2E1D"/>
    <w:rsid w:val="006F3058"/>
    <w:rsid w:val="006F3174"/>
    <w:rsid w:val="006F34BA"/>
    <w:rsid w:val="006F406B"/>
    <w:rsid w:val="006F40EA"/>
    <w:rsid w:val="006F4268"/>
    <w:rsid w:val="006F4289"/>
    <w:rsid w:val="006F43B8"/>
    <w:rsid w:val="006F443C"/>
    <w:rsid w:val="006F4443"/>
    <w:rsid w:val="006F46BC"/>
    <w:rsid w:val="006F47B8"/>
    <w:rsid w:val="006F4C53"/>
    <w:rsid w:val="006F4D12"/>
    <w:rsid w:val="006F4ED1"/>
    <w:rsid w:val="006F5153"/>
    <w:rsid w:val="006F5192"/>
    <w:rsid w:val="006F51A8"/>
    <w:rsid w:val="006F539B"/>
    <w:rsid w:val="006F5584"/>
    <w:rsid w:val="006F5F56"/>
    <w:rsid w:val="006F66A2"/>
    <w:rsid w:val="006F67EA"/>
    <w:rsid w:val="006F6B2F"/>
    <w:rsid w:val="006F6F50"/>
    <w:rsid w:val="006F6F64"/>
    <w:rsid w:val="006F712E"/>
    <w:rsid w:val="006F7467"/>
    <w:rsid w:val="006F7824"/>
    <w:rsid w:val="006F7C6D"/>
    <w:rsid w:val="00700435"/>
    <w:rsid w:val="00700514"/>
    <w:rsid w:val="00700622"/>
    <w:rsid w:val="007007D7"/>
    <w:rsid w:val="00700CE4"/>
    <w:rsid w:val="00700F4C"/>
    <w:rsid w:val="007010F2"/>
    <w:rsid w:val="00701144"/>
    <w:rsid w:val="00701751"/>
    <w:rsid w:val="00701A6B"/>
    <w:rsid w:val="00701F5F"/>
    <w:rsid w:val="00702335"/>
    <w:rsid w:val="00702565"/>
    <w:rsid w:val="00702807"/>
    <w:rsid w:val="00702E7F"/>
    <w:rsid w:val="007038F5"/>
    <w:rsid w:val="00703A85"/>
    <w:rsid w:val="00704006"/>
    <w:rsid w:val="007041B8"/>
    <w:rsid w:val="0070433E"/>
    <w:rsid w:val="0070436F"/>
    <w:rsid w:val="00704382"/>
    <w:rsid w:val="007044B8"/>
    <w:rsid w:val="00704568"/>
    <w:rsid w:val="007048CD"/>
    <w:rsid w:val="00704920"/>
    <w:rsid w:val="00704989"/>
    <w:rsid w:val="00704B0C"/>
    <w:rsid w:val="00704DBD"/>
    <w:rsid w:val="00704F6A"/>
    <w:rsid w:val="00704FF8"/>
    <w:rsid w:val="0070507D"/>
    <w:rsid w:val="0070516D"/>
    <w:rsid w:val="007051C5"/>
    <w:rsid w:val="0070548E"/>
    <w:rsid w:val="00705500"/>
    <w:rsid w:val="00705521"/>
    <w:rsid w:val="00705667"/>
    <w:rsid w:val="00705992"/>
    <w:rsid w:val="00705A3A"/>
    <w:rsid w:val="00705D9A"/>
    <w:rsid w:val="0070641A"/>
    <w:rsid w:val="007067BD"/>
    <w:rsid w:val="0070715E"/>
    <w:rsid w:val="00707356"/>
    <w:rsid w:val="00707552"/>
    <w:rsid w:val="0070757C"/>
    <w:rsid w:val="00707788"/>
    <w:rsid w:val="00707A32"/>
    <w:rsid w:val="00707B24"/>
    <w:rsid w:val="00707E71"/>
    <w:rsid w:val="00710324"/>
    <w:rsid w:val="00710563"/>
    <w:rsid w:val="00710589"/>
    <w:rsid w:val="00710684"/>
    <w:rsid w:val="00710802"/>
    <w:rsid w:val="00710A9F"/>
    <w:rsid w:val="00710CA8"/>
    <w:rsid w:val="0071104B"/>
    <w:rsid w:val="007114CD"/>
    <w:rsid w:val="0071156E"/>
    <w:rsid w:val="007115F2"/>
    <w:rsid w:val="0071169D"/>
    <w:rsid w:val="007116BC"/>
    <w:rsid w:val="0071170F"/>
    <w:rsid w:val="00711934"/>
    <w:rsid w:val="00711CF1"/>
    <w:rsid w:val="007129C3"/>
    <w:rsid w:val="00712A48"/>
    <w:rsid w:val="00712A6A"/>
    <w:rsid w:val="00712F78"/>
    <w:rsid w:val="00713115"/>
    <w:rsid w:val="007131AE"/>
    <w:rsid w:val="007132BB"/>
    <w:rsid w:val="007138EB"/>
    <w:rsid w:val="00713BE6"/>
    <w:rsid w:val="00713CB3"/>
    <w:rsid w:val="0071415C"/>
    <w:rsid w:val="0071421C"/>
    <w:rsid w:val="007143AA"/>
    <w:rsid w:val="00714424"/>
    <w:rsid w:val="0071476C"/>
    <w:rsid w:val="00714B0A"/>
    <w:rsid w:val="00714EFF"/>
    <w:rsid w:val="00714F6E"/>
    <w:rsid w:val="00715151"/>
    <w:rsid w:val="007155A7"/>
    <w:rsid w:val="0071574F"/>
    <w:rsid w:val="00715C62"/>
    <w:rsid w:val="00715CBC"/>
    <w:rsid w:val="00715EC9"/>
    <w:rsid w:val="00716695"/>
    <w:rsid w:val="007167CF"/>
    <w:rsid w:val="00716840"/>
    <w:rsid w:val="00716CDD"/>
    <w:rsid w:val="0071721D"/>
    <w:rsid w:val="00717869"/>
    <w:rsid w:val="00717BFA"/>
    <w:rsid w:val="00717C7A"/>
    <w:rsid w:val="007200BA"/>
    <w:rsid w:val="007208EA"/>
    <w:rsid w:val="00720C4C"/>
    <w:rsid w:val="00720D56"/>
    <w:rsid w:val="00720E35"/>
    <w:rsid w:val="00720FD3"/>
    <w:rsid w:val="0072123B"/>
    <w:rsid w:val="00721275"/>
    <w:rsid w:val="0072142D"/>
    <w:rsid w:val="0072224C"/>
    <w:rsid w:val="00722725"/>
    <w:rsid w:val="00722740"/>
    <w:rsid w:val="007229C5"/>
    <w:rsid w:val="00722A38"/>
    <w:rsid w:val="00722B39"/>
    <w:rsid w:val="00722B93"/>
    <w:rsid w:val="00723053"/>
    <w:rsid w:val="00723384"/>
    <w:rsid w:val="007234F6"/>
    <w:rsid w:val="00723540"/>
    <w:rsid w:val="007238ED"/>
    <w:rsid w:val="00723E52"/>
    <w:rsid w:val="00723F02"/>
    <w:rsid w:val="00723F89"/>
    <w:rsid w:val="00724037"/>
    <w:rsid w:val="00724AAC"/>
    <w:rsid w:val="00724BC1"/>
    <w:rsid w:val="00724DAD"/>
    <w:rsid w:val="00725113"/>
    <w:rsid w:val="00725746"/>
    <w:rsid w:val="00725932"/>
    <w:rsid w:val="007262FA"/>
    <w:rsid w:val="007266BF"/>
    <w:rsid w:val="0072687E"/>
    <w:rsid w:val="00727139"/>
    <w:rsid w:val="00727387"/>
    <w:rsid w:val="007274D2"/>
    <w:rsid w:val="007276B1"/>
    <w:rsid w:val="00727A64"/>
    <w:rsid w:val="00727D2E"/>
    <w:rsid w:val="00727DFA"/>
    <w:rsid w:val="00727F60"/>
    <w:rsid w:val="007303E2"/>
    <w:rsid w:val="00730816"/>
    <w:rsid w:val="00730EAC"/>
    <w:rsid w:val="007312B1"/>
    <w:rsid w:val="00731B7B"/>
    <w:rsid w:val="00731D85"/>
    <w:rsid w:val="0073219B"/>
    <w:rsid w:val="007322E2"/>
    <w:rsid w:val="007324BD"/>
    <w:rsid w:val="00732860"/>
    <w:rsid w:val="00732AC5"/>
    <w:rsid w:val="00732B2D"/>
    <w:rsid w:val="00732C2C"/>
    <w:rsid w:val="00732E42"/>
    <w:rsid w:val="00733045"/>
    <w:rsid w:val="00733053"/>
    <w:rsid w:val="007335E0"/>
    <w:rsid w:val="007341D4"/>
    <w:rsid w:val="00734271"/>
    <w:rsid w:val="00734873"/>
    <w:rsid w:val="00734DF2"/>
    <w:rsid w:val="00735137"/>
    <w:rsid w:val="007352A5"/>
    <w:rsid w:val="00735510"/>
    <w:rsid w:val="0073557B"/>
    <w:rsid w:val="00735C85"/>
    <w:rsid w:val="0073602B"/>
    <w:rsid w:val="007366F4"/>
    <w:rsid w:val="0073687F"/>
    <w:rsid w:val="00736A57"/>
    <w:rsid w:val="00736C18"/>
    <w:rsid w:val="00736F92"/>
    <w:rsid w:val="00736F9C"/>
    <w:rsid w:val="00737125"/>
    <w:rsid w:val="007375B1"/>
    <w:rsid w:val="00737AF7"/>
    <w:rsid w:val="00737BBF"/>
    <w:rsid w:val="00737FE8"/>
    <w:rsid w:val="00740E3F"/>
    <w:rsid w:val="0074107A"/>
    <w:rsid w:val="00741228"/>
    <w:rsid w:val="00741333"/>
    <w:rsid w:val="00741440"/>
    <w:rsid w:val="00741C87"/>
    <w:rsid w:val="0074208A"/>
    <w:rsid w:val="007420A1"/>
    <w:rsid w:val="0074275B"/>
    <w:rsid w:val="0074290F"/>
    <w:rsid w:val="00742C46"/>
    <w:rsid w:val="00742F81"/>
    <w:rsid w:val="00743051"/>
    <w:rsid w:val="007430BE"/>
    <w:rsid w:val="00743546"/>
    <w:rsid w:val="007438C3"/>
    <w:rsid w:val="00743AB5"/>
    <w:rsid w:val="00743BF8"/>
    <w:rsid w:val="00743C35"/>
    <w:rsid w:val="00743DAD"/>
    <w:rsid w:val="0074417B"/>
    <w:rsid w:val="007441D4"/>
    <w:rsid w:val="007443D3"/>
    <w:rsid w:val="0074446C"/>
    <w:rsid w:val="00744619"/>
    <w:rsid w:val="00744AD7"/>
    <w:rsid w:val="00744DB1"/>
    <w:rsid w:val="007451E9"/>
    <w:rsid w:val="007452A8"/>
    <w:rsid w:val="00745344"/>
    <w:rsid w:val="007453C7"/>
    <w:rsid w:val="00745B3E"/>
    <w:rsid w:val="0074606A"/>
    <w:rsid w:val="00746684"/>
    <w:rsid w:val="00746E81"/>
    <w:rsid w:val="0074712A"/>
    <w:rsid w:val="0074725B"/>
    <w:rsid w:val="007475C1"/>
    <w:rsid w:val="00747676"/>
    <w:rsid w:val="00747A9A"/>
    <w:rsid w:val="00747B1B"/>
    <w:rsid w:val="00747D3C"/>
    <w:rsid w:val="007500AA"/>
    <w:rsid w:val="00750257"/>
    <w:rsid w:val="00750284"/>
    <w:rsid w:val="007502A5"/>
    <w:rsid w:val="007505EF"/>
    <w:rsid w:val="00750B24"/>
    <w:rsid w:val="00750CE7"/>
    <w:rsid w:val="007512C2"/>
    <w:rsid w:val="007513DD"/>
    <w:rsid w:val="00751751"/>
    <w:rsid w:val="00751812"/>
    <w:rsid w:val="00751D6F"/>
    <w:rsid w:val="00751E84"/>
    <w:rsid w:val="00752503"/>
    <w:rsid w:val="00752964"/>
    <w:rsid w:val="00752E14"/>
    <w:rsid w:val="00752F2E"/>
    <w:rsid w:val="0075306D"/>
    <w:rsid w:val="00753186"/>
    <w:rsid w:val="00753357"/>
    <w:rsid w:val="00753E35"/>
    <w:rsid w:val="00753E42"/>
    <w:rsid w:val="00754178"/>
    <w:rsid w:val="0075447E"/>
    <w:rsid w:val="007547BE"/>
    <w:rsid w:val="00754973"/>
    <w:rsid w:val="00754E1A"/>
    <w:rsid w:val="0075531E"/>
    <w:rsid w:val="007553E3"/>
    <w:rsid w:val="00755571"/>
    <w:rsid w:val="007555E2"/>
    <w:rsid w:val="00755643"/>
    <w:rsid w:val="007558ED"/>
    <w:rsid w:val="007559A0"/>
    <w:rsid w:val="007559A5"/>
    <w:rsid w:val="00755BA2"/>
    <w:rsid w:val="00755CC2"/>
    <w:rsid w:val="0075605A"/>
    <w:rsid w:val="00756837"/>
    <w:rsid w:val="00756B75"/>
    <w:rsid w:val="00756E9D"/>
    <w:rsid w:val="00757707"/>
    <w:rsid w:val="00757968"/>
    <w:rsid w:val="00757B46"/>
    <w:rsid w:val="00760048"/>
    <w:rsid w:val="0076060D"/>
    <w:rsid w:val="00760651"/>
    <w:rsid w:val="00760707"/>
    <w:rsid w:val="00760817"/>
    <w:rsid w:val="0076096A"/>
    <w:rsid w:val="007609E6"/>
    <w:rsid w:val="00760C74"/>
    <w:rsid w:val="00760CA9"/>
    <w:rsid w:val="00760CAD"/>
    <w:rsid w:val="00760ED5"/>
    <w:rsid w:val="0076175C"/>
    <w:rsid w:val="00761974"/>
    <w:rsid w:val="00761ACD"/>
    <w:rsid w:val="00761DA9"/>
    <w:rsid w:val="00761EE9"/>
    <w:rsid w:val="007626F6"/>
    <w:rsid w:val="00762739"/>
    <w:rsid w:val="00762BB3"/>
    <w:rsid w:val="00762BD5"/>
    <w:rsid w:val="007630D1"/>
    <w:rsid w:val="00763140"/>
    <w:rsid w:val="0076327D"/>
    <w:rsid w:val="00763353"/>
    <w:rsid w:val="0076437D"/>
    <w:rsid w:val="00764547"/>
    <w:rsid w:val="0076460A"/>
    <w:rsid w:val="0076478E"/>
    <w:rsid w:val="007649F4"/>
    <w:rsid w:val="00764C94"/>
    <w:rsid w:val="00764DC3"/>
    <w:rsid w:val="0076542D"/>
    <w:rsid w:val="007657AD"/>
    <w:rsid w:val="0076594A"/>
    <w:rsid w:val="00765986"/>
    <w:rsid w:val="007659A4"/>
    <w:rsid w:val="00765A31"/>
    <w:rsid w:val="00765ADB"/>
    <w:rsid w:val="00765B88"/>
    <w:rsid w:val="00765C26"/>
    <w:rsid w:val="007661AA"/>
    <w:rsid w:val="00766276"/>
    <w:rsid w:val="00766282"/>
    <w:rsid w:val="00766319"/>
    <w:rsid w:val="007668AE"/>
    <w:rsid w:val="00766AD5"/>
    <w:rsid w:val="00767013"/>
    <w:rsid w:val="00767374"/>
    <w:rsid w:val="00767A18"/>
    <w:rsid w:val="00767FA1"/>
    <w:rsid w:val="00770148"/>
    <w:rsid w:val="007703CA"/>
    <w:rsid w:val="0077088E"/>
    <w:rsid w:val="007708BA"/>
    <w:rsid w:val="00770C30"/>
    <w:rsid w:val="00770C32"/>
    <w:rsid w:val="00770EDF"/>
    <w:rsid w:val="00770FCB"/>
    <w:rsid w:val="00771138"/>
    <w:rsid w:val="007713BD"/>
    <w:rsid w:val="0077178D"/>
    <w:rsid w:val="00771C9D"/>
    <w:rsid w:val="00771F3F"/>
    <w:rsid w:val="00772146"/>
    <w:rsid w:val="007724ED"/>
    <w:rsid w:val="007724F5"/>
    <w:rsid w:val="00772903"/>
    <w:rsid w:val="00772B5F"/>
    <w:rsid w:val="00772CE1"/>
    <w:rsid w:val="0077337A"/>
    <w:rsid w:val="0077346E"/>
    <w:rsid w:val="007734F0"/>
    <w:rsid w:val="00773509"/>
    <w:rsid w:val="007736BD"/>
    <w:rsid w:val="0077385E"/>
    <w:rsid w:val="0077388D"/>
    <w:rsid w:val="00773D28"/>
    <w:rsid w:val="00773FA4"/>
    <w:rsid w:val="0077444B"/>
    <w:rsid w:val="00774514"/>
    <w:rsid w:val="007747A7"/>
    <w:rsid w:val="00774873"/>
    <w:rsid w:val="00774B8B"/>
    <w:rsid w:val="00774C24"/>
    <w:rsid w:val="00774DF1"/>
    <w:rsid w:val="00774E3D"/>
    <w:rsid w:val="00774E61"/>
    <w:rsid w:val="007750D4"/>
    <w:rsid w:val="00775231"/>
    <w:rsid w:val="0077532F"/>
    <w:rsid w:val="0077539C"/>
    <w:rsid w:val="00775626"/>
    <w:rsid w:val="0077563A"/>
    <w:rsid w:val="00775CD3"/>
    <w:rsid w:val="00775DD1"/>
    <w:rsid w:val="00775F64"/>
    <w:rsid w:val="0077637D"/>
    <w:rsid w:val="007763CB"/>
    <w:rsid w:val="007763D6"/>
    <w:rsid w:val="007764B5"/>
    <w:rsid w:val="00776A86"/>
    <w:rsid w:val="00776C63"/>
    <w:rsid w:val="007770AE"/>
    <w:rsid w:val="007771B1"/>
    <w:rsid w:val="007775D4"/>
    <w:rsid w:val="007779C9"/>
    <w:rsid w:val="00777C7A"/>
    <w:rsid w:val="00777D80"/>
    <w:rsid w:val="00777DF4"/>
    <w:rsid w:val="00777EF7"/>
    <w:rsid w:val="007801D4"/>
    <w:rsid w:val="00780373"/>
    <w:rsid w:val="00780385"/>
    <w:rsid w:val="007805DD"/>
    <w:rsid w:val="0078069B"/>
    <w:rsid w:val="00780AFA"/>
    <w:rsid w:val="00780F52"/>
    <w:rsid w:val="00781232"/>
    <w:rsid w:val="0078136A"/>
    <w:rsid w:val="007813C1"/>
    <w:rsid w:val="007816B4"/>
    <w:rsid w:val="00781738"/>
    <w:rsid w:val="00781741"/>
    <w:rsid w:val="0078179E"/>
    <w:rsid w:val="00781D1E"/>
    <w:rsid w:val="00781DA7"/>
    <w:rsid w:val="00781E32"/>
    <w:rsid w:val="007825A9"/>
    <w:rsid w:val="007826AE"/>
    <w:rsid w:val="00782AF4"/>
    <w:rsid w:val="00782B85"/>
    <w:rsid w:val="00782C38"/>
    <w:rsid w:val="00782EBD"/>
    <w:rsid w:val="00782F68"/>
    <w:rsid w:val="0078315F"/>
    <w:rsid w:val="00783191"/>
    <w:rsid w:val="00783621"/>
    <w:rsid w:val="007837F0"/>
    <w:rsid w:val="00783881"/>
    <w:rsid w:val="00783D11"/>
    <w:rsid w:val="00783EBB"/>
    <w:rsid w:val="00784001"/>
    <w:rsid w:val="00784033"/>
    <w:rsid w:val="00784100"/>
    <w:rsid w:val="0078426F"/>
    <w:rsid w:val="00784294"/>
    <w:rsid w:val="00784486"/>
    <w:rsid w:val="007847CF"/>
    <w:rsid w:val="00784812"/>
    <w:rsid w:val="0078486E"/>
    <w:rsid w:val="007849F1"/>
    <w:rsid w:val="00784D33"/>
    <w:rsid w:val="00784FBA"/>
    <w:rsid w:val="00785272"/>
    <w:rsid w:val="007852AA"/>
    <w:rsid w:val="007852FD"/>
    <w:rsid w:val="00785FFA"/>
    <w:rsid w:val="007860CB"/>
    <w:rsid w:val="007863F2"/>
    <w:rsid w:val="00786433"/>
    <w:rsid w:val="007866B3"/>
    <w:rsid w:val="00786932"/>
    <w:rsid w:val="00786A3F"/>
    <w:rsid w:val="00786AB0"/>
    <w:rsid w:val="00786B2B"/>
    <w:rsid w:val="0078726C"/>
    <w:rsid w:val="007877BC"/>
    <w:rsid w:val="007877EA"/>
    <w:rsid w:val="00787A64"/>
    <w:rsid w:val="00787C56"/>
    <w:rsid w:val="00787D56"/>
    <w:rsid w:val="007900E2"/>
    <w:rsid w:val="0079063C"/>
    <w:rsid w:val="00790934"/>
    <w:rsid w:val="00790EA0"/>
    <w:rsid w:val="00790EA5"/>
    <w:rsid w:val="0079120B"/>
    <w:rsid w:val="007914FD"/>
    <w:rsid w:val="00791544"/>
    <w:rsid w:val="0079163B"/>
    <w:rsid w:val="007918D3"/>
    <w:rsid w:val="00791992"/>
    <w:rsid w:val="00791F8B"/>
    <w:rsid w:val="00792253"/>
    <w:rsid w:val="0079240E"/>
    <w:rsid w:val="00792565"/>
    <w:rsid w:val="00792582"/>
    <w:rsid w:val="007925B6"/>
    <w:rsid w:val="00792735"/>
    <w:rsid w:val="00792798"/>
    <w:rsid w:val="00792CAC"/>
    <w:rsid w:val="00792D46"/>
    <w:rsid w:val="00792D98"/>
    <w:rsid w:val="00792E28"/>
    <w:rsid w:val="0079305B"/>
    <w:rsid w:val="007932B8"/>
    <w:rsid w:val="007937A3"/>
    <w:rsid w:val="00793970"/>
    <w:rsid w:val="007941AC"/>
    <w:rsid w:val="00794318"/>
    <w:rsid w:val="007943B5"/>
    <w:rsid w:val="007945FA"/>
    <w:rsid w:val="00794EF5"/>
    <w:rsid w:val="00794F60"/>
    <w:rsid w:val="00795070"/>
    <w:rsid w:val="00795312"/>
    <w:rsid w:val="00795524"/>
    <w:rsid w:val="00795CED"/>
    <w:rsid w:val="00795E92"/>
    <w:rsid w:val="007960E6"/>
    <w:rsid w:val="00796849"/>
    <w:rsid w:val="00796C92"/>
    <w:rsid w:val="00797B83"/>
    <w:rsid w:val="00797FB5"/>
    <w:rsid w:val="007A0161"/>
    <w:rsid w:val="007A0333"/>
    <w:rsid w:val="007A0BC8"/>
    <w:rsid w:val="007A124B"/>
    <w:rsid w:val="007A13EC"/>
    <w:rsid w:val="007A159D"/>
    <w:rsid w:val="007A1B6B"/>
    <w:rsid w:val="007A1E8C"/>
    <w:rsid w:val="007A21D5"/>
    <w:rsid w:val="007A25E7"/>
    <w:rsid w:val="007A2AF0"/>
    <w:rsid w:val="007A2EF7"/>
    <w:rsid w:val="007A3572"/>
    <w:rsid w:val="007A399D"/>
    <w:rsid w:val="007A4423"/>
    <w:rsid w:val="007A4658"/>
    <w:rsid w:val="007A4C3D"/>
    <w:rsid w:val="007A4DB4"/>
    <w:rsid w:val="007A508B"/>
    <w:rsid w:val="007A5236"/>
    <w:rsid w:val="007A539D"/>
    <w:rsid w:val="007A55BD"/>
    <w:rsid w:val="007A5653"/>
    <w:rsid w:val="007A572E"/>
    <w:rsid w:val="007A572F"/>
    <w:rsid w:val="007A5789"/>
    <w:rsid w:val="007A5E61"/>
    <w:rsid w:val="007A66A4"/>
    <w:rsid w:val="007A6752"/>
    <w:rsid w:val="007A6877"/>
    <w:rsid w:val="007A74EC"/>
    <w:rsid w:val="007A7501"/>
    <w:rsid w:val="007A75FC"/>
    <w:rsid w:val="007A7721"/>
    <w:rsid w:val="007A79C9"/>
    <w:rsid w:val="007A7C46"/>
    <w:rsid w:val="007A7F39"/>
    <w:rsid w:val="007B097C"/>
    <w:rsid w:val="007B0981"/>
    <w:rsid w:val="007B0B98"/>
    <w:rsid w:val="007B0DEE"/>
    <w:rsid w:val="007B106E"/>
    <w:rsid w:val="007B138D"/>
    <w:rsid w:val="007B16EB"/>
    <w:rsid w:val="007B1706"/>
    <w:rsid w:val="007B1789"/>
    <w:rsid w:val="007B1873"/>
    <w:rsid w:val="007B18FB"/>
    <w:rsid w:val="007B1936"/>
    <w:rsid w:val="007B1BD4"/>
    <w:rsid w:val="007B1F1F"/>
    <w:rsid w:val="007B2015"/>
    <w:rsid w:val="007B285C"/>
    <w:rsid w:val="007B2C56"/>
    <w:rsid w:val="007B3783"/>
    <w:rsid w:val="007B3F1B"/>
    <w:rsid w:val="007B4246"/>
    <w:rsid w:val="007B429E"/>
    <w:rsid w:val="007B4476"/>
    <w:rsid w:val="007B511E"/>
    <w:rsid w:val="007B526D"/>
    <w:rsid w:val="007B57F9"/>
    <w:rsid w:val="007B5944"/>
    <w:rsid w:val="007B597D"/>
    <w:rsid w:val="007B59A2"/>
    <w:rsid w:val="007B5BBA"/>
    <w:rsid w:val="007B5D31"/>
    <w:rsid w:val="007B5EAE"/>
    <w:rsid w:val="007B5FEA"/>
    <w:rsid w:val="007B6402"/>
    <w:rsid w:val="007B69D8"/>
    <w:rsid w:val="007B6A6C"/>
    <w:rsid w:val="007B701F"/>
    <w:rsid w:val="007B72BD"/>
    <w:rsid w:val="007B7346"/>
    <w:rsid w:val="007B7682"/>
    <w:rsid w:val="007B7FCD"/>
    <w:rsid w:val="007C0320"/>
    <w:rsid w:val="007C043A"/>
    <w:rsid w:val="007C0453"/>
    <w:rsid w:val="007C060D"/>
    <w:rsid w:val="007C06D7"/>
    <w:rsid w:val="007C092F"/>
    <w:rsid w:val="007C0943"/>
    <w:rsid w:val="007C0C63"/>
    <w:rsid w:val="007C0EB0"/>
    <w:rsid w:val="007C0EB6"/>
    <w:rsid w:val="007C0F27"/>
    <w:rsid w:val="007C1075"/>
    <w:rsid w:val="007C1405"/>
    <w:rsid w:val="007C1875"/>
    <w:rsid w:val="007C1978"/>
    <w:rsid w:val="007C1A01"/>
    <w:rsid w:val="007C1BC0"/>
    <w:rsid w:val="007C1D3C"/>
    <w:rsid w:val="007C22DB"/>
    <w:rsid w:val="007C28B3"/>
    <w:rsid w:val="007C320E"/>
    <w:rsid w:val="007C3371"/>
    <w:rsid w:val="007C3590"/>
    <w:rsid w:val="007C3692"/>
    <w:rsid w:val="007C394C"/>
    <w:rsid w:val="007C3A52"/>
    <w:rsid w:val="007C3D61"/>
    <w:rsid w:val="007C43DB"/>
    <w:rsid w:val="007C49D3"/>
    <w:rsid w:val="007C4AF0"/>
    <w:rsid w:val="007C4CFC"/>
    <w:rsid w:val="007C5326"/>
    <w:rsid w:val="007C56B9"/>
    <w:rsid w:val="007C581C"/>
    <w:rsid w:val="007C59EB"/>
    <w:rsid w:val="007C5ECF"/>
    <w:rsid w:val="007C6079"/>
    <w:rsid w:val="007C608B"/>
    <w:rsid w:val="007C6943"/>
    <w:rsid w:val="007C6FCA"/>
    <w:rsid w:val="007C707D"/>
    <w:rsid w:val="007C7602"/>
    <w:rsid w:val="007C7961"/>
    <w:rsid w:val="007C7C8F"/>
    <w:rsid w:val="007D0638"/>
    <w:rsid w:val="007D07A2"/>
    <w:rsid w:val="007D0B3A"/>
    <w:rsid w:val="007D0E3B"/>
    <w:rsid w:val="007D0EDD"/>
    <w:rsid w:val="007D0FDA"/>
    <w:rsid w:val="007D145A"/>
    <w:rsid w:val="007D160A"/>
    <w:rsid w:val="007D185A"/>
    <w:rsid w:val="007D1DE2"/>
    <w:rsid w:val="007D20F3"/>
    <w:rsid w:val="007D2622"/>
    <w:rsid w:val="007D2733"/>
    <w:rsid w:val="007D27BA"/>
    <w:rsid w:val="007D2860"/>
    <w:rsid w:val="007D2D26"/>
    <w:rsid w:val="007D2DC1"/>
    <w:rsid w:val="007D32F7"/>
    <w:rsid w:val="007D342F"/>
    <w:rsid w:val="007D34A0"/>
    <w:rsid w:val="007D390B"/>
    <w:rsid w:val="007D392B"/>
    <w:rsid w:val="007D422F"/>
    <w:rsid w:val="007D4852"/>
    <w:rsid w:val="007D48C6"/>
    <w:rsid w:val="007D4C9B"/>
    <w:rsid w:val="007D4CA8"/>
    <w:rsid w:val="007D4FFE"/>
    <w:rsid w:val="007D5156"/>
    <w:rsid w:val="007D51F6"/>
    <w:rsid w:val="007D545A"/>
    <w:rsid w:val="007D54FB"/>
    <w:rsid w:val="007D55B8"/>
    <w:rsid w:val="007D562F"/>
    <w:rsid w:val="007D5A33"/>
    <w:rsid w:val="007D5EB1"/>
    <w:rsid w:val="007D6417"/>
    <w:rsid w:val="007D6996"/>
    <w:rsid w:val="007D69E8"/>
    <w:rsid w:val="007D6EEB"/>
    <w:rsid w:val="007D7069"/>
    <w:rsid w:val="007D71C2"/>
    <w:rsid w:val="007D7469"/>
    <w:rsid w:val="007D7515"/>
    <w:rsid w:val="007D75FE"/>
    <w:rsid w:val="007D7801"/>
    <w:rsid w:val="007D797D"/>
    <w:rsid w:val="007D7A5F"/>
    <w:rsid w:val="007D7BAE"/>
    <w:rsid w:val="007D7D18"/>
    <w:rsid w:val="007D7FB5"/>
    <w:rsid w:val="007E030A"/>
    <w:rsid w:val="007E0EF1"/>
    <w:rsid w:val="007E1073"/>
    <w:rsid w:val="007E16E2"/>
    <w:rsid w:val="007E181E"/>
    <w:rsid w:val="007E21C2"/>
    <w:rsid w:val="007E246C"/>
    <w:rsid w:val="007E253A"/>
    <w:rsid w:val="007E2F72"/>
    <w:rsid w:val="007E336A"/>
    <w:rsid w:val="007E3432"/>
    <w:rsid w:val="007E3B83"/>
    <w:rsid w:val="007E456A"/>
    <w:rsid w:val="007E466C"/>
    <w:rsid w:val="007E47E2"/>
    <w:rsid w:val="007E4BC4"/>
    <w:rsid w:val="007E50F7"/>
    <w:rsid w:val="007E51B5"/>
    <w:rsid w:val="007E58A7"/>
    <w:rsid w:val="007E5CA6"/>
    <w:rsid w:val="007E5F33"/>
    <w:rsid w:val="007E5FDF"/>
    <w:rsid w:val="007E6ABC"/>
    <w:rsid w:val="007E7458"/>
    <w:rsid w:val="007E74F7"/>
    <w:rsid w:val="007E79A1"/>
    <w:rsid w:val="007F0839"/>
    <w:rsid w:val="007F0D03"/>
    <w:rsid w:val="007F0D93"/>
    <w:rsid w:val="007F11D4"/>
    <w:rsid w:val="007F125C"/>
    <w:rsid w:val="007F14EC"/>
    <w:rsid w:val="007F1BFD"/>
    <w:rsid w:val="007F1C17"/>
    <w:rsid w:val="007F21A9"/>
    <w:rsid w:val="007F23F3"/>
    <w:rsid w:val="007F24DD"/>
    <w:rsid w:val="007F2766"/>
    <w:rsid w:val="007F28EC"/>
    <w:rsid w:val="007F2E33"/>
    <w:rsid w:val="007F2E8A"/>
    <w:rsid w:val="007F3494"/>
    <w:rsid w:val="007F3B3A"/>
    <w:rsid w:val="007F3C71"/>
    <w:rsid w:val="007F4317"/>
    <w:rsid w:val="007F447C"/>
    <w:rsid w:val="007F477A"/>
    <w:rsid w:val="007F4923"/>
    <w:rsid w:val="007F4C6C"/>
    <w:rsid w:val="007F50AD"/>
    <w:rsid w:val="007F51DE"/>
    <w:rsid w:val="007F546A"/>
    <w:rsid w:val="007F5AA1"/>
    <w:rsid w:val="007F5AE9"/>
    <w:rsid w:val="007F5B13"/>
    <w:rsid w:val="007F5EBE"/>
    <w:rsid w:val="007F5EDE"/>
    <w:rsid w:val="007F6049"/>
    <w:rsid w:val="007F64AE"/>
    <w:rsid w:val="007F7A1D"/>
    <w:rsid w:val="007F7D7E"/>
    <w:rsid w:val="007F7D7F"/>
    <w:rsid w:val="007F7D92"/>
    <w:rsid w:val="00800305"/>
    <w:rsid w:val="00800486"/>
    <w:rsid w:val="008005B7"/>
    <w:rsid w:val="008008AA"/>
    <w:rsid w:val="00800D2A"/>
    <w:rsid w:val="00800EC3"/>
    <w:rsid w:val="00801264"/>
    <w:rsid w:val="00801751"/>
    <w:rsid w:val="0080179E"/>
    <w:rsid w:val="008017A8"/>
    <w:rsid w:val="00801CC4"/>
    <w:rsid w:val="00802083"/>
    <w:rsid w:val="008021F3"/>
    <w:rsid w:val="0080224C"/>
    <w:rsid w:val="008022D0"/>
    <w:rsid w:val="00802986"/>
    <w:rsid w:val="00803049"/>
    <w:rsid w:val="00803650"/>
    <w:rsid w:val="008037C4"/>
    <w:rsid w:val="008038BD"/>
    <w:rsid w:val="00803937"/>
    <w:rsid w:val="00803959"/>
    <w:rsid w:val="00803AE3"/>
    <w:rsid w:val="00803DB0"/>
    <w:rsid w:val="00803EE3"/>
    <w:rsid w:val="00804281"/>
    <w:rsid w:val="008045DF"/>
    <w:rsid w:val="00804736"/>
    <w:rsid w:val="00804C70"/>
    <w:rsid w:val="008055E7"/>
    <w:rsid w:val="00805B9F"/>
    <w:rsid w:val="00805D32"/>
    <w:rsid w:val="00805D50"/>
    <w:rsid w:val="00805E87"/>
    <w:rsid w:val="00805EE5"/>
    <w:rsid w:val="00805F1E"/>
    <w:rsid w:val="00806080"/>
    <w:rsid w:val="008067AD"/>
    <w:rsid w:val="008067C1"/>
    <w:rsid w:val="008071FC"/>
    <w:rsid w:val="008079B4"/>
    <w:rsid w:val="00807DAC"/>
    <w:rsid w:val="00810049"/>
    <w:rsid w:val="00810082"/>
    <w:rsid w:val="008102A3"/>
    <w:rsid w:val="00810541"/>
    <w:rsid w:val="008109F5"/>
    <w:rsid w:val="00810B5B"/>
    <w:rsid w:val="00810BCF"/>
    <w:rsid w:val="00810C59"/>
    <w:rsid w:val="00810DCC"/>
    <w:rsid w:val="008110B6"/>
    <w:rsid w:val="008112DE"/>
    <w:rsid w:val="008114ED"/>
    <w:rsid w:val="008115BB"/>
    <w:rsid w:val="008116FD"/>
    <w:rsid w:val="00811E8A"/>
    <w:rsid w:val="00811E9C"/>
    <w:rsid w:val="00812008"/>
    <w:rsid w:val="008120B0"/>
    <w:rsid w:val="00812197"/>
    <w:rsid w:val="008122D7"/>
    <w:rsid w:val="008123B3"/>
    <w:rsid w:val="008127AA"/>
    <w:rsid w:val="008128D6"/>
    <w:rsid w:val="008129D4"/>
    <w:rsid w:val="008136E7"/>
    <w:rsid w:val="00813A61"/>
    <w:rsid w:val="00813FB6"/>
    <w:rsid w:val="008140A7"/>
    <w:rsid w:val="0081432B"/>
    <w:rsid w:val="0081464E"/>
    <w:rsid w:val="0081473F"/>
    <w:rsid w:val="008148EE"/>
    <w:rsid w:val="00814B6C"/>
    <w:rsid w:val="008151D1"/>
    <w:rsid w:val="008152AD"/>
    <w:rsid w:val="008157A7"/>
    <w:rsid w:val="00815834"/>
    <w:rsid w:val="00815941"/>
    <w:rsid w:val="00815950"/>
    <w:rsid w:val="00815A92"/>
    <w:rsid w:val="00815B26"/>
    <w:rsid w:val="00815B97"/>
    <w:rsid w:val="00815BA4"/>
    <w:rsid w:val="00816156"/>
    <w:rsid w:val="0081658C"/>
    <w:rsid w:val="008165C7"/>
    <w:rsid w:val="008165DD"/>
    <w:rsid w:val="008166AB"/>
    <w:rsid w:val="008167CF"/>
    <w:rsid w:val="00816B46"/>
    <w:rsid w:val="00817635"/>
    <w:rsid w:val="008176D2"/>
    <w:rsid w:val="0082024E"/>
    <w:rsid w:val="008204C1"/>
    <w:rsid w:val="008208D2"/>
    <w:rsid w:val="008209E8"/>
    <w:rsid w:val="00820C14"/>
    <w:rsid w:val="00820F8F"/>
    <w:rsid w:val="00821125"/>
    <w:rsid w:val="0082128D"/>
    <w:rsid w:val="00821408"/>
    <w:rsid w:val="008215B7"/>
    <w:rsid w:val="00821A0B"/>
    <w:rsid w:val="00821CD2"/>
    <w:rsid w:val="0082224E"/>
    <w:rsid w:val="00822722"/>
    <w:rsid w:val="008228DA"/>
    <w:rsid w:val="00822E93"/>
    <w:rsid w:val="00823240"/>
    <w:rsid w:val="008233F8"/>
    <w:rsid w:val="008235EF"/>
    <w:rsid w:val="0082364F"/>
    <w:rsid w:val="00823FFF"/>
    <w:rsid w:val="0082423F"/>
    <w:rsid w:val="008248DC"/>
    <w:rsid w:val="00825601"/>
    <w:rsid w:val="00825839"/>
    <w:rsid w:val="008258F5"/>
    <w:rsid w:val="0082599D"/>
    <w:rsid w:val="008265CF"/>
    <w:rsid w:val="00826653"/>
    <w:rsid w:val="00826819"/>
    <w:rsid w:val="00826ADD"/>
    <w:rsid w:val="00826BDD"/>
    <w:rsid w:val="00826EB1"/>
    <w:rsid w:val="00826F4D"/>
    <w:rsid w:val="00827177"/>
    <w:rsid w:val="0082770F"/>
    <w:rsid w:val="008278AF"/>
    <w:rsid w:val="00827C6D"/>
    <w:rsid w:val="00827FDF"/>
    <w:rsid w:val="00830263"/>
    <w:rsid w:val="008303B5"/>
    <w:rsid w:val="0083042B"/>
    <w:rsid w:val="008304F0"/>
    <w:rsid w:val="0083053A"/>
    <w:rsid w:val="00830598"/>
    <w:rsid w:val="00830777"/>
    <w:rsid w:val="00830A51"/>
    <w:rsid w:val="00830D48"/>
    <w:rsid w:val="00830D72"/>
    <w:rsid w:val="00830D88"/>
    <w:rsid w:val="00830EE5"/>
    <w:rsid w:val="00831132"/>
    <w:rsid w:val="0083125E"/>
    <w:rsid w:val="008313BB"/>
    <w:rsid w:val="00831532"/>
    <w:rsid w:val="008315E0"/>
    <w:rsid w:val="00831824"/>
    <w:rsid w:val="0083193E"/>
    <w:rsid w:val="00831A9B"/>
    <w:rsid w:val="00831EF0"/>
    <w:rsid w:val="0083215A"/>
    <w:rsid w:val="008326AA"/>
    <w:rsid w:val="00832933"/>
    <w:rsid w:val="008329B6"/>
    <w:rsid w:val="00832A89"/>
    <w:rsid w:val="008330E6"/>
    <w:rsid w:val="00833752"/>
    <w:rsid w:val="00833AFF"/>
    <w:rsid w:val="00833D8E"/>
    <w:rsid w:val="00833F92"/>
    <w:rsid w:val="0083456A"/>
    <w:rsid w:val="00834589"/>
    <w:rsid w:val="0083472B"/>
    <w:rsid w:val="00834BC9"/>
    <w:rsid w:val="00834C04"/>
    <w:rsid w:val="00834FB1"/>
    <w:rsid w:val="00835099"/>
    <w:rsid w:val="00835364"/>
    <w:rsid w:val="008356EF"/>
    <w:rsid w:val="00835724"/>
    <w:rsid w:val="00835A5C"/>
    <w:rsid w:val="00835B3B"/>
    <w:rsid w:val="0083649A"/>
    <w:rsid w:val="00836541"/>
    <w:rsid w:val="008365D8"/>
    <w:rsid w:val="00836999"/>
    <w:rsid w:val="00836AA0"/>
    <w:rsid w:val="00836D6C"/>
    <w:rsid w:val="00836ED4"/>
    <w:rsid w:val="00837009"/>
    <w:rsid w:val="008370A5"/>
    <w:rsid w:val="008371E9"/>
    <w:rsid w:val="00837229"/>
    <w:rsid w:val="00837748"/>
    <w:rsid w:val="00837786"/>
    <w:rsid w:val="00837A2D"/>
    <w:rsid w:val="00837C29"/>
    <w:rsid w:val="00837ED1"/>
    <w:rsid w:val="00840172"/>
    <w:rsid w:val="00840285"/>
    <w:rsid w:val="008402AE"/>
    <w:rsid w:val="008404F3"/>
    <w:rsid w:val="00840530"/>
    <w:rsid w:val="0084099F"/>
    <w:rsid w:val="00840A10"/>
    <w:rsid w:val="00840A82"/>
    <w:rsid w:val="00840AFC"/>
    <w:rsid w:val="00840BD0"/>
    <w:rsid w:val="00840F37"/>
    <w:rsid w:val="008411AE"/>
    <w:rsid w:val="00841287"/>
    <w:rsid w:val="008417E9"/>
    <w:rsid w:val="00841953"/>
    <w:rsid w:val="008419ED"/>
    <w:rsid w:val="00841C38"/>
    <w:rsid w:val="00842096"/>
    <w:rsid w:val="00842265"/>
    <w:rsid w:val="008423FA"/>
    <w:rsid w:val="0084260B"/>
    <w:rsid w:val="0084268A"/>
    <w:rsid w:val="008427E1"/>
    <w:rsid w:val="008427ED"/>
    <w:rsid w:val="00842A73"/>
    <w:rsid w:val="00842B5E"/>
    <w:rsid w:val="00842F80"/>
    <w:rsid w:val="00842FD5"/>
    <w:rsid w:val="00843094"/>
    <w:rsid w:val="00843381"/>
    <w:rsid w:val="00843641"/>
    <w:rsid w:val="00843B91"/>
    <w:rsid w:val="00843F6A"/>
    <w:rsid w:val="008440ED"/>
    <w:rsid w:val="00844129"/>
    <w:rsid w:val="00844146"/>
    <w:rsid w:val="008444AB"/>
    <w:rsid w:val="00844601"/>
    <w:rsid w:val="008448C5"/>
    <w:rsid w:val="00844A5D"/>
    <w:rsid w:val="00844BAC"/>
    <w:rsid w:val="00844C31"/>
    <w:rsid w:val="00844D23"/>
    <w:rsid w:val="00845008"/>
    <w:rsid w:val="008454EE"/>
    <w:rsid w:val="00845503"/>
    <w:rsid w:val="0084659A"/>
    <w:rsid w:val="00846967"/>
    <w:rsid w:val="00846CE2"/>
    <w:rsid w:val="00846CE8"/>
    <w:rsid w:val="00846DE6"/>
    <w:rsid w:val="00846E33"/>
    <w:rsid w:val="00846ED8"/>
    <w:rsid w:val="00847142"/>
    <w:rsid w:val="0084777F"/>
    <w:rsid w:val="00847D60"/>
    <w:rsid w:val="0085003F"/>
    <w:rsid w:val="008500B2"/>
    <w:rsid w:val="008500D1"/>
    <w:rsid w:val="008501D0"/>
    <w:rsid w:val="008505E6"/>
    <w:rsid w:val="00850639"/>
    <w:rsid w:val="00850960"/>
    <w:rsid w:val="00851298"/>
    <w:rsid w:val="0085197E"/>
    <w:rsid w:val="00851B13"/>
    <w:rsid w:val="00852610"/>
    <w:rsid w:val="00852A25"/>
    <w:rsid w:val="00852BAC"/>
    <w:rsid w:val="00852D48"/>
    <w:rsid w:val="00852E01"/>
    <w:rsid w:val="00853482"/>
    <w:rsid w:val="00853C56"/>
    <w:rsid w:val="00853E0B"/>
    <w:rsid w:val="00853EA2"/>
    <w:rsid w:val="0085413B"/>
    <w:rsid w:val="008543CC"/>
    <w:rsid w:val="008543D2"/>
    <w:rsid w:val="008544C2"/>
    <w:rsid w:val="0085453E"/>
    <w:rsid w:val="00854692"/>
    <w:rsid w:val="00854B82"/>
    <w:rsid w:val="00854E35"/>
    <w:rsid w:val="008551B4"/>
    <w:rsid w:val="0085536D"/>
    <w:rsid w:val="00855B1A"/>
    <w:rsid w:val="00855C6F"/>
    <w:rsid w:val="00855D49"/>
    <w:rsid w:val="00855FD0"/>
    <w:rsid w:val="008566D7"/>
    <w:rsid w:val="00856973"/>
    <w:rsid w:val="00856C1C"/>
    <w:rsid w:val="00856CE9"/>
    <w:rsid w:val="0085702F"/>
    <w:rsid w:val="00857088"/>
    <w:rsid w:val="008570BA"/>
    <w:rsid w:val="008571CB"/>
    <w:rsid w:val="00857711"/>
    <w:rsid w:val="00857A1D"/>
    <w:rsid w:val="00857B56"/>
    <w:rsid w:val="00857F47"/>
    <w:rsid w:val="00860186"/>
    <w:rsid w:val="008601A1"/>
    <w:rsid w:val="0086057A"/>
    <w:rsid w:val="00860B14"/>
    <w:rsid w:val="00860C07"/>
    <w:rsid w:val="00860D29"/>
    <w:rsid w:val="00860D4E"/>
    <w:rsid w:val="00860E45"/>
    <w:rsid w:val="00861345"/>
    <w:rsid w:val="008613EC"/>
    <w:rsid w:val="0086194C"/>
    <w:rsid w:val="00861B6E"/>
    <w:rsid w:val="00861C32"/>
    <w:rsid w:val="00861C7B"/>
    <w:rsid w:val="00861CD0"/>
    <w:rsid w:val="00861DE8"/>
    <w:rsid w:val="008621BE"/>
    <w:rsid w:val="00862213"/>
    <w:rsid w:val="00862521"/>
    <w:rsid w:val="0086297C"/>
    <w:rsid w:val="00862B82"/>
    <w:rsid w:val="00862E90"/>
    <w:rsid w:val="00862EA8"/>
    <w:rsid w:val="00862FD0"/>
    <w:rsid w:val="008632BE"/>
    <w:rsid w:val="00863916"/>
    <w:rsid w:val="0086394B"/>
    <w:rsid w:val="00863B53"/>
    <w:rsid w:val="00863CC3"/>
    <w:rsid w:val="00863F0F"/>
    <w:rsid w:val="008642AB"/>
    <w:rsid w:val="00864C3C"/>
    <w:rsid w:val="0086509A"/>
    <w:rsid w:val="008650E9"/>
    <w:rsid w:val="008657B8"/>
    <w:rsid w:val="008658BE"/>
    <w:rsid w:val="00866610"/>
    <w:rsid w:val="00866932"/>
    <w:rsid w:val="00866965"/>
    <w:rsid w:val="00866B69"/>
    <w:rsid w:val="00866C6C"/>
    <w:rsid w:val="00866DB0"/>
    <w:rsid w:val="00866ECA"/>
    <w:rsid w:val="00867196"/>
    <w:rsid w:val="008673FF"/>
    <w:rsid w:val="0086752F"/>
    <w:rsid w:val="0086769C"/>
    <w:rsid w:val="008678BA"/>
    <w:rsid w:val="00867B73"/>
    <w:rsid w:val="00867CE1"/>
    <w:rsid w:val="00867DDE"/>
    <w:rsid w:val="00867E64"/>
    <w:rsid w:val="00867FFE"/>
    <w:rsid w:val="00870396"/>
    <w:rsid w:val="00870943"/>
    <w:rsid w:val="008716DE"/>
    <w:rsid w:val="00871792"/>
    <w:rsid w:val="00871824"/>
    <w:rsid w:val="00871913"/>
    <w:rsid w:val="008719CF"/>
    <w:rsid w:val="00871B1E"/>
    <w:rsid w:val="00872072"/>
    <w:rsid w:val="008723DB"/>
    <w:rsid w:val="00872686"/>
    <w:rsid w:val="00872A79"/>
    <w:rsid w:val="00872F78"/>
    <w:rsid w:val="008731C7"/>
    <w:rsid w:val="0087320A"/>
    <w:rsid w:val="0087326C"/>
    <w:rsid w:val="008732D1"/>
    <w:rsid w:val="008732EF"/>
    <w:rsid w:val="008733EE"/>
    <w:rsid w:val="008736C8"/>
    <w:rsid w:val="008737B6"/>
    <w:rsid w:val="00873C9E"/>
    <w:rsid w:val="00873DFC"/>
    <w:rsid w:val="00873EEA"/>
    <w:rsid w:val="00873EF0"/>
    <w:rsid w:val="0087433E"/>
    <w:rsid w:val="00874DF8"/>
    <w:rsid w:val="0087514B"/>
    <w:rsid w:val="008768CA"/>
    <w:rsid w:val="00876B79"/>
    <w:rsid w:val="00876DFC"/>
    <w:rsid w:val="0087708C"/>
    <w:rsid w:val="00877137"/>
    <w:rsid w:val="0087736D"/>
    <w:rsid w:val="0087739F"/>
    <w:rsid w:val="00877C3B"/>
    <w:rsid w:val="008800B6"/>
    <w:rsid w:val="008800F7"/>
    <w:rsid w:val="00880276"/>
    <w:rsid w:val="008805B6"/>
    <w:rsid w:val="008805F1"/>
    <w:rsid w:val="0088065B"/>
    <w:rsid w:val="00880672"/>
    <w:rsid w:val="00880A1C"/>
    <w:rsid w:val="00880AA4"/>
    <w:rsid w:val="00881093"/>
    <w:rsid w:val="008810B9"/>
    <w:rsid w:val="008810BB"/>
    <w:rsid w:val="00881329"/>
    <w:rsid w:val="0088160A"/>
    <w:rsid w:val="00881668"/>
    <w:rsid w:val="008817C3"/>
    <w:rsid w:val="00881A2D"/>
    <w:rsid w:val="00881B96"/>
    <w:rsid w:val="00881C7A"/>
    <w:rsid w:val="00881E60"/>
    <w:rsid w:val="0088205F"/>
    <w:rsid w:val="008820BD"/>
    <w:rsid w:val="00882420"/>
    <w:rsid w:val="00882460"/>
    <w:rsid w:val="008828C5"/>
    <w:rsid w:val="00882B86"/>
    <w:rsid w:val="00882CDC"/>
    <w:rsid w:val="008834BF"/>
    <w:rsid w:val="008835B5"/>
    <w:rsid w:val="0088361A"/>
    <w:rsid w:val="00883690"/>
    <w:rsid w:val="00883791"/>
    <w:rsid w:val="0088381A"/>
    <w:rsid w:val="0088385B"/>
    <w:rsid w:val="0088390E"/>
    <w:rsid w:val="008839D8"/>
    <w:rsid w:val="00883B51"/>
    <w:rsid w:val="0088451B"/>
    <w:rsid w:val="008847CD"/>
    <w:rsid w:val="00884D0C"/>
    <w:rsid w:val="00885D39"/>
    <w:rsid w:val="00885DF8"/>
    <w:rsid w:val="0088640F"/>
    <w:rsid w:val="00886469"/>
    <w:rsid w:val="008866B8"/>
    <w:rsid w:val="00886976"/>
    <w:rsid w:val="00886CE5"/>
    <w:rsid w:val="00887080"/>
    <w:rsid w:val="0088708D"/>
    <w:rsid w:val="00887667"/>
    <w:rsid w:val="00887883"/>
    <w:rsid w:val="00887C62"/>
    <w:rsid w:val="00887CB0"/>
    <w:rsid w:val="00887EED"/>
    <w:rsid w:val="008908E8"/>
    <w:rsid w:val="00890B1D"/>
    <w:rsid w:val="00890EBA"/>
    <w:rsid w:val="00890EFA"/>
    <w:rsid w:val="00890FD6"/>
    <w:rsid w:val="008914A3"/>
    <w:rsid w:val="008914F9"/>
    <w:rsid w:val="0089165D"/>
    <w:rsid w:val="00891A4A"/>
    <w:rsid w:val="00891F5B"/>
    <w:rsid w:val="00891FC9"/>
    <w:rsid w:val="00892561"/>
    <w:rsid w:val="00892CE6"/>
    <w:rsid w:val="00892D80"/>
    <w:rsid w:val="00892F00"/>
    <w:rsid w:val="008931D8"/>
    <w:rsid w:val="00893459"/>
    <w:rsid w:val="008934A2"/>
    <w:rsid w:val="00893886"/>
    <w:rsid w:val="00893B32"/>
    <w:rsid w:val="00893B3E"/>
    <w:rsid w:val="00893B83"/>
    <w:rsid w:val="00893E08"/>
    <w:rsid w:val="00894033"/>
    <w:rsid w:val="00894481"/>
    <w:rsid w:val="008955CB"/>
    <w:rsid w:val="00895762"/>
    <w:rsid w:val="00895767"/>
    <w:rsid w:val="00895D21"/>
    <w:rsid w:val="00895FF1"/>
    <w:rsid w:val="008965F4"/>
    <w:rsid w:val="008968AC"/>
    <w:rsid w:val="008970D5"/>
    <w:rsid w:val="00897386"/>
    <w:rsid w:val="008976D2"/>
    <w:rsid w:val="00897A88"/>
    <w:rsid w:val="00897D5B"/>
    <w:rsid w:val="00897DC4"/>
    <w:rsid w:val="00897E1E"/>
    <w:rsid w:val="00897EF5"/>
    <w:rsid w:val="008A04FD"/>
    <w:rsid w:val="008A067D"/>
    <w:rsid w:val="008A0FD8"/>
    <w:rsid w:val="008A110E"/>
    <w:rsid w:val="008A12E3"/>
    <w:rsid w:val="008A1484"/>
    <w:rsid w:val="008A14A4"/>
    <w:rsid w:val="008A152B"/>
    <w:rsid w:val="008A1686"/>
    <w:rsid w:val="008A1736"/>
    <w:rsid w:val="008A1771"/>
    <w:rsid w:val="008A178A"/>
    <w:rsid w:val="008A1CE8"/>
    <w:rsid w:val="008A1E0B"/>
    <w:rsid w:val="008A1E8C"/>
    <w:rsid w:val="008A1F68"/>
    <w:rsid w:val="008A2090"/>
    <w:rsid w:val="008A2960"/>
    <w:rsid w:val="008A3DEF"/>
    <w:rsid w:val="008A402A"/>
    <w:rsid w:val="008A405B"/>
    <w:rsid w:val="008A4447"/>
    <w:rsid w:val="008A4558"/>
    <w:rsid w:val="008A4E6B"/>
    <w:rsid w:val="008A4F8C"/>
    <w:rsid w:val="008A5109"/>
    <w:rsid w:val="008A53DC"/>
    <w:rsid w:val="008A5906"/>
    <w:rsid w:val="008A5934"/>
    <w:rsid w:val="008A5DC8"/>
    <w:rsid w:val="008A6342"/>
    <w:rsid w:val="008A6362"/>
    <w:rsid w:val="008A6904"/>
    <w:rsid w:val="008A6A2D"/>
    <w:rsid w:val="008A6BE3"/>
    <w:rsid w:val="008A748B"/>
    <w:rsid w:val="008A783C"/>
    <w:rsid w:val="008A7959"/>
    <w:rsid w:val="008B0435"/>
    <w:rsid w:val="008B045D"/>
    <w:rsid w:val="008B100B"/>
    <w:rsid w:val="008B13EF"/>
    <w:rsid w:val="008B16BF"/>
    <w:rsid w:val="008B1707"/>
    <w:rsid w:val="008B20F4"/>
    <w:rsid w:val="008B21A8"/>
    <w:rsid w:val="008B22AD"/>
    <w:rsid w:val="008B23AC"/>
    <w:rsid w:val="008B2465"/>
    <w:rsid w:val="008B264F"/>
    <w:rsid w:val="008B2831"/>
    <w:rsid w:val="008B28D6"/>
    <w:rsid w:val="008B2BCD"/>
    <w:rsid w:val="008B2E93"/>
    <w:rsid w:val="008B30A2"/>
    <w:rsid w:val="008B31DE"/>
    <w:rsid w:val="008B3201"/>
    <w:rsid w:val="008B3283"/>
    <w:rsid w:val="008B3352"/>
    <w:rsid w:val="008B348E"/>
    <w:rsid w:val="008B3E72"/>
    <w:rsid w:val="008B3F02"/>
    <w:rsid w:val="008B3FDF"/>
    <w:rsid w:val="008B40B8"/>
    <w:rsid w:val="008B471B"/>
    <w:rsid w:val="008B49C9"/>
    <w:rsid w:val="008B49DB"/>
    <w:rsid w:val="008B50B1"/>
    <w:rsid w:val="008B5226"/>
    <w:rsid w:val="008B5708"/>
    <w:rsid w:val="008B60D0"/>
    <w:rsid w:val="008B6D8A"/>
    <w:rsid w:val="008B757B"/>
    <w:rsid w:val="008B7812"/>
    <w:rsid w:val="008B7872"/>
    <w:rsid w:val="008B7980"/>
    <w:rsid w:val="008B7D56"/>
    <w:rsid w:val="008B7F06"/>
    <w:rsid w:val="008C05F2"/>
    <w:rsid w:val="008C0A5E"/>
    <w:rsid w:val="008C0E72"/>
    <w:rsid w:val="008C0FF9"/>
    <w:rsid w:val="008C121D"/>
    <w:rsid w:val="008C152D"/>
    <w:rsid w:val="008C1568"/>
    <w:rsid w:val="008C1CEE"/>
    <w:rsid w:val="008C1CFC"/>
    <w:rsid w:val="008C1F64"/>
    <w:rsid w:val="008C2058"/>
    <w:rsid w:val="008C25B3"/>
    <w:rsid w:val="008C2A38"/>
    <w:rsid w:val="008C31A3"/>
    <w:rsid w:val="008C31B8"/>
    <w:rsid w:val="008C31D9"/>
    <w:rsid w:val="008C3D44"/>
    <w:rsid w:val="008C454F"/>
    <w:rsid w:val="008C458A"/>
    <w:rsid w:val="008C4C31"/>
    <w:rsid w:val="008C53CA"/>
    <w:rsid w:val="008C57F8"/>
    <w:rsid w:val="008C59C9"/>
    <w:rsid w:val="008C61A1"/>
    <w:rsid w:val="008C634D"/>
    <w:rsid w:val="008C63CD"/>
    <w:rsid w:val="008C6C6D"/>
    <w:rsid w:val="008C6DD0"/>
    <w:rsid w:val="008C749E"/>
    <w:rsid w:val="008C76EE"/>
    <w:rsid w:val="008C7882"/>
    <w:rsid w:val="008C7BF0"/>
    <w:rsid w:val="008C7CCF"/>
    <w:rsid w:val="008D005C"/>
    <w:rsid w:val="008D0294"/>
    <w:rsid w:val="008D02C3"/>
    <w:rsid w:val="008D0354"/>
    <w:rsid w:val="008D05CA"/>
    <w:rsid w:val="008D081E"/>
    <w:rsid w:val="008D0E2A"/>
    <w:rsid w:val="008D1352"/>
    <w:rsid w:val="008D1398"/>
    <w:rsid w:val="008D1464"/>
    <w:rsid w:val="008D1AB4"/>
    <w:rsid w:val="008D1DA2"/>
    <w:rsid w:val="008D1EDA"/>
    <w:rsid w:val="008D20E6"/>
    <w:rsid w:val="008D23DF"/>
    <w:rsid w:val="008D2702"/>
    <w:rsid w:val="008D294D"/>
    <w:rsid w:val="008D2A28"/>
    <w:rsid w:val="008D2BA9"/>
    <w:rsid w:val="008D2DB8"/>
    <w:rsid w:val="008D2EAB"/>
    <w:rsid w:val="008D2F2B"/>
    <w:rsid w:val="008D3889"/>
    <w:rsid w:val="008D3C18"/>
    <w:rsid w:val="008D3C35"/>
    <w:rsid w:val="008D41D6"/>
    <w:rsid w:val="008D425B"/>
    <w:rsid w:val="008D45DB"/>
    <w:rsid w:val="008D4645"/>
    <w:rsid w:val="008D4694"/>
    <w:rsid w:val="008D51E9"/>
    <w:rsid w:val="008D52DA"/>
    <w:rsid w:val="008D57E0"/>
    <w:rsid w:val="008D594C"/>
    <w:rsid w:val="008D5F1E"/>
    <w:rsid w:val="008D639E"/>
    <w:rsid w:val="008D6416"/>
    <w:rsid w:val="008D65A6"/>
    <w:rsid w:val="008D676D"/>
    <w:rsid w:val="008D6815"/>
    <w:rsid w:val="008D6821"/>
    <w:rsid w:val="008D686B"/>
    <w:rsid w:val="008D695E"/>
    <w:rsid w:val="008D6A3F"/>
    <w:rsid w:val="008D6AE4"/>
    <w:rsid w:val="008D6D14"/>
    <w:rsid w:val="008D6E2D"/>
    <w:rsid w:val="008D7588"/>
    <w:rsid w:val="008D7591"/>
    <w:rsid w:val="008D78B2"/>
    <w:rsid w:val="008D7974"/>
    <w:rsid w:val="008D7D21"/>
    <w:rsid w:val="008D7FD5"/>
    <w:rsid w:val="008E035C"/>
    <w:rsid w:val="008E0368"/>
    <w:rsid w:val="008E0707"/>
    <w:rsid w:val="008E07F2"/>
    <w:rsid w:val="008E0CB0"/>
    <w:rsid w:val="008E0E10"/>
    <w:rsid w:val="008E12A9"/>
    <w:rsid w:val="008E131A"/>
    <w:rsid w:val="008E174F"/>
    <w:rsid w:val="008E1C0E"/>
    <w:rsid w:val="008E245D"/>
    <w:rsid w:val="008E2C72"/>
    <w:rsid w:val="008E2D9B"/>
    <w:rsid w:val="008E303A"/>
    <w:rsid w:val="008E318B"/>
    <w:rsid w:val="008E32C8"/>
    <w:rsid w:val="008E336B"/>
    <w:rsid w:val="008E3659"/>
    <w:rsid w:val="008E37B7"/>
    <w:rsid w:val="008E406B"/>
    <w:rsid w:val="008E4070"/>
    <w:rsid w:val="008E4179"/>
    <w:rsid w:val="008E4490"/>
    <w:rsid w:val="008E45E4"/>
    <w:rsid w:val="008E4BD4"/>
    <w:rsid w:val="008E4E90"/>
    <w:rsid w:val="008E570D"/>
    <w:rsid w:val="008E5A74"/>
    <w:rsid w:val="008E5D7F"/>
    <w:rsid w:val="008E5E0D"/>
    <w:rsid w:val="008E5EE5"/>
    <w:rsid w:val="008E5F73"/>
    <w:rsid w:val="008E6478"/>
    <w:rsid w:val="008E64DB"/>
    <w:rsid w:val="008E64DD"/>
    <w:rsid w:val="008E683C"/>
    <w:rsid w:val="008E6A3B"/>
    <w:rsid w:val="008E6DCB"/>
    <w:rsid w:val="008E6FC1"/>
    <w:rsid w:val="008E6FED"/>
    <w:rsid w:val="008E7636"/>
    <w:rsid w:val="008E7653"/>
    <w:rsid w:val="008E7AD3"/>
    <w:rsid w:val="008F0267"/>
    <w:rsid w:val="008F088A"/>
    <w:rsid w:val="008F0CAD"/>
    <w:rsid w:val="008F0D11"/>
    <w:rsid w:val="008F1347"/>
    <w:rsid w:val="008F140C"/>
    <w:rsid w:val="008F14F6"/>
    <w:rsid w:val="008F1525"/>
    <w:rsid w:val="008F1750"/>
    <w:rsid w:val="008F1E2D"/>
    <w:rsid w:val="008F1E58"/>
    <w:rsid w:val="008F1F01"/>
    <w:rsid w:val="008F218E"/>
    <w:rsid w:val="008F224E"/>
    <w:rsid w:val="008F22BD"/>
    <w:rsid w:val="008F2A89"/>
    <w:rsid w:val="008F3385"/>
    <w:rsid w:val="008F33A6"/>
    <w:rsid w:val="008F346E"/>
    <w:rsid w:val="008F382D"/>
    <w:rsid w:val="008F4182"/>
    <w:rsid w:val="008F41D6"/>
    <w:rsid w:val="008F43A0"/>
    <w:rsid w:val="008F4629"/>
    <w:rsid w:val="008F4696"/>
    <w:rsid w:val="008F4A84"/>
    <w:rsid w:val="008F4CDB"/>
    <w:rsid w:val="008F51E2"/>
    <w:rsid w:val="008F529F"/>
    <w:rsid w:val="008F530A"/>
    <w:rsid w:val="008F5606"/>
    <w:rsid w:val="008F574E"/>
    <w:rsid w:val="008F5787"/>
    <w:rsid w:val="008F57D5"/>
    <w:rsid w:val="008F6108"/>
    <w:rsid w:val="008F6211"/>
    <w:rsid w:val="008F63A2"/>
    <w:rsid w:val="008F6407"/>
    <w:rsid w:val="008F6453"/>
    <w:rsid w:val="008F67F7"/>
    <w:rsid w:val="008F6873"/>
    <w:rsid w:val="008F6C0E"/>
    <w:rsid w:val="008F6DDA"/>
    <w:rsid w:val="008F6F60"/>
    <w:rsid w:val="008F73E6"/>
    <w:rsid w:val="008F73EA"/>
    <w:rsid w:val="008F7442"/>
    <w:rsid w:val="008F7593"/>
    <w:rsid w:val="008F78FC"/>
    <w:rsid w:val="008F7DB0"/>
    <w:rsid w:val="008F7FC5"/>
    <w:rsid w:val="00900065"/>
    <w:rsid w:val="00900B36"/>
    <w:rsid w:val="00900DEA"/>
    <w:rsid w:val="0090126A"/>
    <w:rsid w:val="009017DA"/>
    <w:rsid w:val="00901915"/>
    <w:rsid w:val="00901D82"/>
    <w:rsid w:val="00901F29"/>
    <w:rsid w:val="0090205E"/>
    <w:rsid w:val="00902302"/>
    <w:rsid w:val="00902964"/>
    <w:rsid w:val="00902997"/>
    <w:rsid w:val="00902D86"/>
    <w:rsid w:val="0090320A"/>
    <w:rsid w:val="0090327B"/>
    <w:rsid w:val="00903893"/>
    <w:rsid w:val="00903FC3"/>
    <w:rsid w:val="00904140"/>
    <w:rsid w:val="0090454A"/>
    <w:rsid w:val="009045E2"/>
    <w:rsid w:val="009045FD"/>
    <w:rsid w:val="00904816"/>
    <w:rsid w:val="00904996"/>
    <w:rsid w:val="00904B1D"/>
    <w:rsid w:val="00904EF3"/>
    <w:rsid w:val="00905200"/>
    <w:rsid w:val="00906CF3"/>
    <w:rsid w:val="00906D5F"/>
    <w:rsid w:val="00906E21"/>
    <w:rsid w:val="009071F9"/>
    <w:rsid w:val="00907455"/>
    <w:rsid w:val="00907490"/>
    <w:rsid w:val="00907819"/>
    <w:rsid w:val="00907AAC"/>
    <w:rsid w:val="009108E7"/>
    <w:rsid w:val="0091090E"/>
    <w:rsid w:val="009109A5"/>
    <w:rsid w:val="00911227"/>
    <w:rsid w:val="009114A9"/>
    <w:rsid w:val="00911864"/>
    <w:rsid w:val="009119FE"/>
    <w:rsid w:val="00911B7C"/>
    <w:rsid w:val="0091215A"/>
    <w:rsid w:val="009124DF"/>
    <w:rsid w:val="00912E2A"/>
    <w:rsid w:val="00913016"/>
    <w:rsid w:val="0091338D"/>
    <w:rsid w:val="009138AE"/>
    <w:rsid w:val="009138C4"/>
    <w:rsid w:val="00913A2F"/>
    <w:rsid w:val="00913A68"/>
    <w:rsid w:val="00913B5C"/>
    <w:rsid w:val="00913FAF"/>
    <w:rsid w:val="00913FEF"/>
    <w:rsid w:val="0091482B"/>
    <w:rsid w:val="009148FB"/>
    <w:rsid w:val="00914F2B"/>
    <w:rsid w:val="0091519D"/>
    <w:rsid w:val="00915423"/>
    <w:rsid w:val="009155E5"/>
    <w:rsid w:val="00915A75"/>
    <w:rsid w:val="00915D82"/>
    <w:rsid w:val="0091625B"/>
    <w:rsid w:val="00916468"/>
    <w:rsid w:val="00916567"/>
    <w:rsid w:val="00916A6E"/>
    <w:rsid w:val="00916ADF"/>
    <w:rsid w:val="00916BF4"/>
    <w:rsid w:val="009172C4"/>
    <w:rsid w:val="00917348"/>
    <w:rsid w:val="0091748E"/>
    <w:rsid w:val="009174A7"/>
    <w:rsid w:val="00917B35"/>
    <w:rsid w:val="00917E1C"/>
    <w:rsid w:val="00920123"/>
    <w:rsid w:val="00920576"/>
    <w:rsid w:val="00920630"/>
    <w:rsid w:val="0092126F"/>
    <w:rsid w:val="009212DE"/>
    <w:rsid w:val="009215ED"/>
    <w:rsid w:val="009218B9"/>
    <w:rsid w:val="009219D1"/>
    <w:rsid w:val="00922127"/>
    <w:rsid w:val="009221E2"/>
    <w:rsid w:val="00922376"/>
    <w:rsid w:val="00922B93"/>
    <w:rsid w:val="00922F69"/>
    <w:rsid w:val="00923550"/>
    <w:rsid w:val="0092362D"/>
    <w:rsid w:val="00923B4B"/>
    <w:rsid w:val="00923B79"/>
    <w:rsid w:val="00923BE4"/>
    <w:rsid w:val="00923D6E"/>
    <w:rsid w:val="00924445"/>
    <w:rsid w:val="009246C7"/>
    <w:rsid w:val="009246D4"/>
    <w:rsid w:val="009248C8"/>
    <w:rsid w:val="00924BB0"/>
    <w:rsid w:val="00924EC7"/>
    <w:rsid w:val="0092517C"/>
    <w:rsid w:val="009252C3"/>
    <w:rsid w:val="00925397"/>
    <w:rsid w:val="0092564F"/>
    <w:rsid w:val="00925B76"/>
    <w:rsid w:val="00926755"/>
    <w:rsid w:val="009269BC"/>
    <w:rsid w:val="00926E6E"/>
    <w:rsid w:val="00926EF9"/>
    <w:rsid w:val="00927061"/>
    <w:rsid w:val="00927844"/>
    <w:rsid w:val="00927B64"/>
    <w:rsid w:val="00927B67"/>
    <w:rsid w:val="00927E8E"/>
    <w:rsid w:val="00927E97"/>
    <w:rsid w:val="00927ED3"/>
    <w:rsid w:val="0093041C"/>
    <w:rsid w:val="0093062C"/>
    <w:rsid w:val="00931450"/>
    <w:rsid w:val="00931609"/>
    <w:rsid w:val="009318F9"/>
    <w:rsid w:val="0093197D"/>
    <w:rsid w:val="009319F7"/>
    <w:rsid w:val="00931D4F"/>
    <w:rsid w:val="00931DA9"/>
    <w:rsid w:val="00931E75"/>
    <w:rsid w:val="009321C4"/>
    <w:rsid w:val="00932255"/>
    <w:rsid w:val="009322D4"/>
    <w:rsid w:val="00932585"/>
    <w:rsid w:val="0093269D"/>
    <w:rsid w:val="00932B01"/>
    <w:rsid w:val="00932CFD"/>
    <w:rsid w:val="009334E8"/>
    <w:rsid w:val="00933629"/>
    <w:rsid w:val="00933821"/>
    <w:rsid w:val="009339D2"/>
    <w:rsid w:val="00933B92"/>
    <w:rsid w:val="00933F5B"/>
    <w:rsid w:val="00934055"/>
    <w:rsid w:val="00934329"/>
    <w:rsid w:val="00934442"/>
    <w:rsid w:val="00934CD0"/>
    <w:rsid w:val="00934EF8"/>
    <w:rsid w:val="00934F51"/>
    <w:rsid w:val="0093556A"/>
    <w:rsid w:val="009357B3"/>
    <w:rsid w:val="00935835"/>
    <w:rsid w:val="009359E2"/>
    <w:rsid w:val="00935A19"/>
    <w:rsid w:val="00935A1D"/>
    <w:rsid w:val="00935B5A"/>
    <w:rsid w:val="00935F8E"/>
    <w:rsid w:val="0093607C"/>
    <w:rsid w:val="00936114"/>
    <w:rsid w:val="009363A7"/>
    <w:rsid w:val="0093655F"/>
    <w:rsid w:val="00936855"/>
    <w:rsid w:val="009369CD"/>
    <w:rsid w:val="00936A49"/>
    <w:rsid w:val="00936AE1"/>
    <w:rsid w:val="00936C96"/>
    <w:rsid w:val="00936D0B"/>
    <w:rsid w:val="00936D12"/>
    <w:rsid w:val="00936E21"/>
    <w:rsid w:val="00936F15"/>
    <w:rsid w:val="00936F79"/>
    <w:rsid w:val="009370D7"/>
    <w:rsid w:val="0093774A"/>
    <w:rsid w:val="00940068"/>
    <w:rsid w:val="009400CB"/>
    <w:rsid w:val="00940747"/>
    <w:rsid w:val="009408BA"/>
    <w:rsid w:val="0094090B"/>
    <w:rsid w:val="00940B11"/>
    <w:rsid w:val="00940DD0"/>
    <w:rsid w:val="009410A2"/>
    <w:rsid w:val="0094124F"/>
    <w:rsid w:val="00941BE6"/>
    <w:rsid w:val="00941E25"/>
    <w:rsid w:val="00942321"/>
    <w:rsid w:val="00942703"/>
    <w:rsid w:val="00942C67"/>
    <w:rsid w:val="00943430"/>
    <w:rsid w:val="0094375A"/>
    <w:rsid w:val="00943DA7"/>
    <w:rsid w:val="00943DAD"/>
    <w:rsid w:val="0094408A"/>
    <w:rsid w:val="009441F7"/>
    <w:rsid w:val="0094437E"/>
    <w:rsid w:val="0094452C"/>
    <w:rsid w:val="009445A3"/>
    <w:rsid w:val="0094479E"/>
    <w:rsid w:val="00944C00"/>
    <w:rsid w:val="00944DE0"/>
    <w:rsid w:val="009452EE"/>
    <w:rsid w:val="00945582"/>
    <w:rsid w:val="00945773"/>
    <w:rsid w:val="0094579D"/>
    <w:rsid w:val="009458A8"/>
    <w:rsid w:val="00945AF0"/>
    <w:rsid w:val="00945C56"/>
    <w:rsid w:val="00946124"/>
    <w:rsid w:val="009463AB"/>
    <w:rsid w:val="009464F3"/>
    <w:rsid w:val="0094650F"/>
    <w:rsid w:val="00946591"/>
    <w:rsid w:val="00946615"/>
    <w:rsid w:val="00946EBB"/>
    <w:rsid w:val="009476E9"/>
    <w:rsid w:val="00947A33"/>
    <w:rsid w:val="00947C07"/>
    <w:rsid w:val="00947F63"/>
    <w:rsid w:val="00950833"/>
    <w:rsid w:val="0095084F"/>
    <w:rsid w:val="009508A3"/>
    <w:rsid w:val="00950B2B"/>
    <w:rsid w:val="00950CA9"/>
    <w:rsid w:val="0095107D"/>
    <w:rsid w:val="009510BF"/>
    <w:rsid w:val="009511DF"/>
    <w:rsid w:val="00951492"/>
    <w:rsid w:val="0095159D"/>
    <w:rsid w:val="00951A37"/>
    <w:rsid w:val="00951A96"/>
    <w:rsid w:val="009525BD"/>
    <w:rsid w:val="00953194"/>
    <w:rsid w:val="00953412"/>
    <w:rsid w:val="0095389B"/>
    <w:rsid w:val="00953932"/>
    <w:rsid w:val="00953BB7"/>
    <w:rsid w:val="00953DAF"/>
    <w:rsid w:val="00953F59"/>
    <w:rsid w:val="00953FFC"/>
    <w:rsid w:val="00954203"/>
    <w:rsid w:val="0095422F"/>
    <w:rsid w:val="00954537"/>
    <w:rsid w:val="009545C2"/>
    <w:rsid w:val="00954A54"/>
    <w:rsid w:val="00954AA9"/>
    <w:rsid w:val="00954EBF"/>
    <w:rsid w:val="0095528C"/>
    <w:rsid w:val="009554CE"/>
    <w:rsid w:val="00955505"/>
    <w:rsid w:val="0095576C"/>
    <w:rsid w:val="009557FD"/>
    <w:rsid w:val="00955896"/>
    <w:rsid w:val="00955923"/>
    <w:rsid w:val="009559CE"/>
    <w:rsid w:val="009560A0"/>
    <w:rsid w:val="009564C5"/>
    <w:rsid w:val="0095654E"/>
    <w:rsid w:val="00956904"/>
    <w:rsid w:val="00956941"/>
    <w:rsid w:val="00956A58"/>
    <w:rsid w:val="00956D87"/>
    <w:rsid w:val="009570AE"/>
    <w:rsid w:val="00957281"/>
    <w:rsid w:val="00957394"/>
    <w:rsid w:val="00957496"/>
    <w:rsid w:val="0095749F"/>
    <w:rsid w:val="00957750"/>
    <w:rsid w:val="0095794D"/>
    <w:rsid w:val="00957A63"/>
    <w:rsid w:val="00957AE9"/>
    <w:rsid w:val="00957B04"/>
    <w:rsid w:val="00957D04"/>
    <w:rsid w:val="00957EA9"/>
    <w:rsid w:val="00960497"/>
    <w:rsid w:val="00960A14"/>
    <w:rsid w:val="00960FAD"/>
    <w:rsid w:val="0096102E"/>
    <w:rsid w:val="009610E8"/>
    <w:rsid w:val="00961263"/>
    <w:rsid w:val="009615B9"/>
    <w:rsid w:val="00961652"/>
    <w:rsid w:val="00961B09"/>
    <w:rsid w:val="00962094"/>
    <w:rsid w:val="009620C3"/>
    <w:rsid w:val="00962CC0"/>
    <w:rsid w:val="00962FBC"/>
    <w:rsid w:val="00963006"/>
    <w:rsid w:val="009633F8"/>
    <w:rsid w:val="0096348A"/>
    <w:rsid w:val="009634ED"/>
    <w:rsid w:val="00963832"/>
    <w:rsid w:val="00963A39"/>
    <w:rsid w:val="00963C2E"/>
    <w:rsid w:val="0096406E"/>
    <w:rsid w:val="009643B2"/>
    <w:rsid w:val="009645D3"/>
    <w:rsid w:val="00964648"/>
    <w:rsid w:val="0096478C"/>
    <w:rsid w:val="00964AC3"/>
    <w:rsid w:val="00964B5D"/>
    <w:rsid w:val="00964C97"/>
    <w:rsid w:val="00964FAF"/>
    <w:rsid w:val="00965683"/>
    <w:rsid w:val="009656D1"/>
    <w:rsid w:val="0096618D"/>
    <w:rsid w:val="009661C2"/>
    <w:rsid w:val="009662D2"/>
    <w:rsid w:val="00966409"/>
    <w:rsid w:val="009664FE"/>
    <w:rsid w:val="00966A5D"/>
    <w:rsid w:val="00966BAB"/>
    <w:rsid w:val="009673B6"/>
    <w:rsid w:val="009675B0"/>
    <w:rsid w:val="0096794C"/>
    <w:rsid w:val="00967D0E"/>
    <w:rsid w:val="00967EFE"/>
    <w:rsid w:val="00967FD3"/>
    <w:rsid w:val="00970A4E"/>
    <w:rsid w:val="00970AF6"/>
    <w:rsid w:val="0097138A"/>
    <w:rsid w:val="0097156F"/>
    <w:rsid w:val="009717B3"/>
    <w:rsid w:val="0097198F"/>
    <w:rsid w:val="00971DF6"/>
    <w:rsid w:val="00971E16"/>
    <w:rsid w:val="009724C8"/>
    <w:rsid w:val="00972652"/>
    <w:rsid w:val="009727F7"/>
    <w:rsid w:val="009729DA"/>
    <w:rsid w:val="00972AA8"/>
    <w:rsid w:val="00972C99"/>
    <w:rsid w:val="00972DC2"/>
    <w:rsid w:val="00972E77"/>
    <w:rsid w:val="00972FFD"/>
    <w:rsid w:val="009730B3"/>
    <w:rsid w:val="0097314D"/>
    <w:rsid w:val="009731A2"/>
    <w:rsid w:val="00973252"/>
    <w:rsid w:val="0097359F"/>
    <w:rsid w:val="009735BC"/>
    <w:rsid w:val="00973CD9"/>
    <w:rsid w:val="009744D9"/>
    <w:rsid w:val="0097479D"/>
    <w:rsid w:val="0097487D"/>
    <w:rsid w:val="00974914"/>
    <w:rsid w:val="00974983"/>
    <w:rsid w:val="009749BF"/>
    <w:rsid w:val="009753A2"/>
    <w:rsid w:val="009754E4"/>
    <w:rsid w:val="0097565E"/>
    <w:rsid w:val="0097597A"/>
    <w:rsid w:val="009759C7"/>
    <w:rsid w:val="009759EE"/>
    <w:rsid w:val="00975A89"/>
    <w:rsid w:val="00975B9A"/>
    <w:rsid w:val="00975BB5"/>
    <w:rsid w:val="00975D14"/>
    <w:rsid w:val="009763D2"/>
    <w:rsid w:val="00976558"/>
    <w:rsid w:val="00976E63"/>
    <w:rsid w:val="00977069"/>
    <w:rsid w:val="00977F45"/>
    <w:rsid w:val="00980099"/>
    <w:rsid w:val="0098051C"/>
    <w:rsid w:val="009809ED"/>
    <w:rsid w:val="00980AE0"/>
    <w:rsid w:val="00980E8D"/>
    <w:rsid w:val="009810D6"/>
    <w:rsid w:val="00981240"/>
    <w:rsid w:val="0098138A"/>
    <w:rsid w:val="00981449"/>
    <w:rsid w:val="00981B77"/>
    <w:rsid w:val="00981C12"/>
    <w:rsid w:val="00981E6C"/>
    <w:rsid w:val="00981FAD"/>
    <w:rsid w:val="00982191"/>
    <w:rsid w:val="009821FF"/>
    <w:rsid w:val="00982982"/>
    <w:rsid w:val="00982FC8"/>
    <w:rsid w:val="00983319"/>
    <w:rsid w:val="009837EE"/>
    <w:rsid w:val="00983972"/>
    <w:rsid w:val="009839A4"/>
    <w:rsid w:val="00983CAA"/>
    <w:rsid w:val="00983F48"/>
    <w:rsid w:val="00984030"/>
    <w:rsid w:val="009845C5"/>
    <w:rsid w:val="0098464F"/>
    <w:rsid w:val="00984940"/>
    <w:rsid w:val="00984D5B"/>
    <w:rsid w:val="00984E29"/>
    <w:rsid w:val="00985030"/>
    <w:rsid w:val="009852D0"/>
    <w:rsid w:val="009852EF"/>
    <w:rsid w:val="009852FA"/>
    <w:rsid w:val="00985304"/>
    <w:rsid w:val="0098534B"/>
    <w:rsid w:val="009859C4"/>
    <w:rsid w:val="00985ABF"/>
    <w:rsid w:val="00986221"/>
    <w:rsid w:val="0098622C"/>
    <w:rsid w:val="00986291"/>
    <w:rsid w:val="00986521"/>
    <w:rsid w:val="00986B46"/>
    <w:rsid w:val="00986D35"/>
    <w:rsid w:val="0098701C"/>
    <w:rsid w:val="009870CD"/>
    <w:rsid w:val="0098737E"/>
    <w:rsid w:val="009873A0"/>
    <w:rsid w:val="00987452"/>
    <w:rsid w:val="0098746B"/>
    <w:rsid w:val="00987562"/>
    <w:rsid w:val="009876CE"/>
    <w:rsid w:val="00987AE4"/>
    <w:rsid w:val="00987C2C"/>
    <w:rsid w:val="00990056"/>
    <w:rsid w:val="0099021C"/>
    <w:rsid w:val="00990437"/>
    <w:rsid w:val="00990CE9"/>
    <w:rsid w:val="00990D77"/>
    <w:rsid w:val="00990FC6"/>
    <w:rsid w:val="0099117E"/>
    <w:rsid w:val="0099129A"/>
    <w:rsid w:val="00991405"/>
    <w:rsid w:val="0099142E"/>
    <w:rsid w:val="00991D5D"/>
    <w:rsid w:val="00991E64"/>
    <w:rsid w:val="009921C2"/>
    <w:rsid w:val="009922F4"/>
    <w:rsid w:val="00992428"/>
    <w:rsid w:val="0099259C"/>
    <w:rsid w:val="00992741"/>
    <w:rsid w:val="00993255"/>
    <w:rsid w:val="00993404"/>
    <w:rsid w:val="0099346A"/>
    <w:rsid w:val="0099395C"/>
    <w:rsid w:val="00993EB5"/>
    <w:rsid w:val="00993F12"/>
    <w:rsid w:val="0099434C"/>
    <w:rsid w:val="00994390"/>
    <w:rsid w:val="00994A03"/>
    <w:rsid w:val="00994DE2"/>
    <w:rsid w:val="009956CC"/>
    <w:rsid w:val="009957CA"/>
    <w:rsid w:val="00995ABE"/>
    <w:rsid w:val="00995CE3"/>
    <w:rsid w:val="00995E50"/>
    <w:rsid w:val="00996269"/>
    <w:rsid w:val="00996934"/>
    <w:rsid w:val="00996A07"/>
    <w:rsid w:val="00996B21"/>
    <w:rsid w:val="00996E75"/>
    <w:rsid w:val="00996F31"/>
    <w:rsid w:val="0099721B"/>
    <w:rsid w:val="00997580"/>
    <w:rsid w:val="009976C5"/>
    <w:rsid w:val="00997758"/>
    <w:rsid w:val="00997B19"/>
    <w:rsid w:val="00997E61"/>
    <w:rsid w:val="009A00DB"/>
    <w:rsid w:val="009A03A9"/>
    <w:rsid w:val="009A07A9"/>
    <w:rsid w:val="009A0E89"/>
    <w:rsid w:val="009A0EF7"/>
    <w:rsid w:val="009A10C5"/>
    <w:rsid w:val="009A118E"/>
    <w:rsid w:val="009A1297"/>
    <w:rsid w:val="009A15A2"/>
    <w:rsid w:val="009A1690"/>
    <w:rsid w:val="009A1763"/>
    <w:rsid w:val="009A1771"/>
    <w:rsid w:val="009A1778"/>
    <w:rsid w:val="009A1A52"/>
    <w:rsid w:val="009A20A1"/>
    <w:rsid w:val="009A216D"/>
    <w:rsid w:val="009A23F5"/>
    <w:rsid w:val="009A2427"/>
    <w:rsid w:val="009A311A"/>
    <w:rsid w:val="009A33DB"/>
    <w:rsid w:val="009A3722"/>
    <w:rsid w:val="009A3725"/>
    <w:rsid w:val="009A381F"/>
    <w:rsid w:val="009A395A"/>
    <w:rsid w:val="009A3D91"/>
    <w:rsid w:val="009A3DBF"/>
    <w:rsid w:val="009A3FB8"/>
    <w:rsid w:val="009A4064"/>
    <w:rsid w:val="009A4080"/>
    <w:rsid w:val="009A4286"/>
    <w:rsid w:val="009A439E"/>
    <w:rsid w:val="009A4587"/>
    <w:rsid w:val="009A479B"/>
    <w:rsid w:val="009A47FE"/>
    <w:rsid w:val="009A4A99"/>
    <w:rsid w:val="009A4C02"/>
    <w:rsid w:val="009A5519"/>
    <w:rsid w:val="009A5D7F"/>
    <w:rsid w:val="009A5F51"/>
    <w:rsid w:val="009A69A0"/>
    <w:rsid w:val="009A6AD4"/>
    <w:rsid w:val="009A6DA7"/>
    <w:rsid w:val="009A6F5C"/>
    <w:rsid w:val="009A75F8"/>
    <w:rsid w:val="009A7737"/>
    <w:rsid w:val="009A77D5"/>
    <w:rsid w:val="009B0124"/>
    <w:rsid w:val="009B01CD"/>
    <w:rsid w:val="009B032A"/>
    <w:rsid w:val="009B094F"/>
    <w:rsid w:val="009B0E6A"/>
    <w:rsid w:val="009B16BA"/>
    <w:rsid w:val="009B18AF"/>
    <w:rsid w:val="009B1A2C"/>
    <w:rsid w:val="009B1C1B"/>
    <w:rsid w:val="009B207B"/>
    <w:rsid w:val="009B20EE"/>
    <w:rsid w:val="009B213B"/>
    <w:rsid w:val="009B2446"/>
    <w:rsid w:val="009B254A"/>
    <w:rsid w:val="009B27DB"/>
    <w:rsid w:val="009B2B8E"/>
    <w:rsid w:val="009B2D27"/>
    <w:rsid w:val="009B324A"/>
    <w:rsid w:val="009B38E4"/>
    <w:rsid w:val="009B3DAA"/>
    <w:rsid w:val="009B43B6"/>
    <w:rsid w:val="009B45D9"/>
    <w:rsid w:val="009B4E42"/>
    <w:rsid w:val="009B4FF0"/>
    <w:rsid w:val="009B5068"/>
    <w:rsid w:val="009B50C8"/>
    <w:rsid w:val="009B5376"/>
    <w:rsid w:val="009B541E"/>
    <w:rsid w:val="009B57B6"/>
    <w:rsid w:val="009B58D1"/>
    <w:rsid w:val="009B59A7"/>
    <w:rsid w:val="009B6478"/>
    <w:rsid w:val="009B65A1"/>
    <w:rsid w:val="009B6CB0"/>
    <w:rsid w:val="009B707D"/>
    <w:rsid w:val="009B7190"/>
    <w:rsid w:val="009B7A23"/>
    <w:rsid w:val="009B7C5F"/>
    <w:rsid w:val="009C0297"/>
    <w:rsid w:val="009C044A"/>
    <w:rsid w:val="009C04C7"/>
    <w:rsid w:val="009C07A4"/>
    <w:rsid w:val="009C07B0"/>
    <w:rsid w:val="009C14DE"/>
    <w:rsid w:val="009C1944"/>
    <w:rsid w:val="009C1C0F"/>
    <w:rsid w:val="009C1C60"/>
    <w:rsid w:val="009C1F44"/>
    <w:rsid w:val="009C2649"/>
    <w:rsid w:val="009C271E"/>
    <w:rsid w:val="009C2A22"/>
    <w:rsid w:val="009C2DC0"/>
    <w:rsid w:val="009C389D"/>
    <w:rsid w:val="009C3AA3"/>
    <w:rsid w:val="009C3EAF"/>
    <w:rsid w:val="009C3FEA"/>
    <w:rsid w:val="009C4005"/>
    <w:rsid w:val="009C4467"/>
    <w:rsid w:val="009C47E9"/>
    <w:rsid w:val="009C4886"/>
    <w:rsid w:val="009C4909"/>
    <w:rsid w:val="009C4A4A"/>
    <w:rsid w:val="009C535C"/>
    <w:rsid w:val="009C561F"/>
    <w:rsid w:val="009C57A5"/>
    <w:rsid w:val="009C5A8E"/>
    <w:rsid w:val="009C5B1B"/>
    <w:rsid w:val="009C5B3B"/>
    <w:rsid w:val="009C5B97"/>
    <w:rsid w:val="009C5C50"/>
    <w:rsid w:val="009C61D1"/>
    <w:rsid w:val="009C639E"/>
    <w:rsid w:val="009C658B"/>
    <w:rsid w:val="009C6643"/>
    <w:rsid w:val="009C6A8C"/>
    <w:rsid w:val="009C6AA3"/>
    <w:rsid w:val="009C6DD7"/>
    <w:rsid w:val="009C6E58"/>
    <w:rsid w:val="009C6EE7"/>
    <w:rsid w:val="009C6FD3"/>
    <w:rsid w:val="009C727B"/>
    <w:rsid w:val="009C7298"/>
    <w:rsid w:val="009C7376"/>
    <w:rsid w:val="009C7471"/>
    <w:rsid w:val="009C76FA"/>
    <w:rsid w:val="009C7C84"/>
    <w:rsid w:val="009D00B4"/>
    <w:rsid w:val="009D0248"/>
    <w:rsid w:val="009D02D8"/>
    <w:rsid w:val="009D04E6"/>
    <w:rsid w:val="009D054E"/>
    <w:rsid w:val="009D05FD"/>
    <w:rsid w:val="009D0669"/>
    <w:rsid w:val="009D0A64"/>
    <w:rsid w:val="009D0CC2"/>
    <w:rsid w:val="009D0DB0"/>
    <w:rsid w:val="009D1005"/>
    <w:rsid w:val="009D1AB7"/>
    <w:rsid w:val="009D1DD4"/>
    <w:rsid w:val="009D1E2A"/>
    <w:rsid w:val="009D295A"/>
    <w:rsid w:val="009D2A2B"/>
    <w:rsid w:val="009D2B51"/>
    <w:rsid w:val="009D2CB1"/>
    <w:rsid w:val="009D2DE5"/>
    <w:rsid w:val="009D3054"/>
    <w:rsid w:val="009D31DD"/>
    <w:rsid w:val="009D3261"/>
    <w:rsid w:val="009D347B"/>
    <w:rsid w:val="009D34FB"/>
    <w:rsid w:val="009D35EF"/>
    <w:rsid w:val="009D3851"/>
    <w:rsid w:val="009D3926"/>
    <w:rsid w:val="009D3B06"/>
    <w:rsid w:val="009D3C00"/>
    <w:rsid w:val="009D3D05"/>
    <w:rsid w:val="009D3E6E"/>
    <w:rsid w:val="009D3EC8"/>
    <w:rsid w:val="009D400C"/>
    <w:rsid w:val="009D40D2"/>
    <w:rsid w:val="009D4406"/>
    <w:rsid w:val="009D46D5"/>
    <w:rsid w:val="009D4822"/>
    <w:rsid w:val="009D4A8A"/>
    <w:rsid w:val="009D4BCA"/>
    <w:rsid w:val="009D4E7A"/>
    <w:rsid w:val="009D54EE"/>
    <w:rsid w:val="009D5655"/>
    <w:rsid w:val="009D57EB"/>
    <w:rsid w:val="009D59EC"/>
    <w:rsid w:val="009D5A1F"/>
    <w:rsid w:val="009D5CCD"/>
    <w:rsid w:val="009D5D6B"/>
    <w:rsid w:val="009D5D8A"/>
    <w:rsid w:val="009D5F01"/>
    <w:rsid w:val="009D5FD2"/>
    <w:rsid w:val="009D60C4"/>
    <w:rsid w:val="009D61DB"/>
    <w:rsid w:val="009D62CA"/>
    <w:rsid w:val="009D64D1"/>
    <w:rsid w:val="009D6751"/>
    <w:rsid w:val="009D6AA9"/>
    <w:rsid w:val="009D6BBA"/>
    <w:rsid w:val="009D6EB6"/>
    <w:rsid w:val="009D704D"/>
    <w:rsid w:val="009D712D"/>
    <w:rsid w:val="009D72E8"/>
    <w:rsid w:val="009D738A"/>
    <w:rsid w:val="009D743F"/>
    <w:rsid w:val="009D7606"/>
    <w:rsid w:val="009D7BD4"/>
    <w:rsid w:val="009D7BFA"/>
    <w:rsid w:val="009D7C0B"/>
    <w:rsid w:val="009D7C58"/>
    <w:rsid w:val="009E013C"/>
    <w:rsid w:val="009E0531"/>
    <w:rsid w:val="009E06FA"/>
    <w:rsid w:val="009E070D"/>
    <w:rsid w:val="009E089A"/>
    <w:rsid w:val="009E0FE6"/>
    <w:rsid w:val="009E1068"/>
    <w:rsid w:val="009E12E4"/>
    <w:rsid w:val="009E177A"/>
    <w:rsid w:val="009E1865"/>
    <w:rsid w:val="009E18F7"/>
    <w:rsid w:val="009E1CE8"/>
    <w:rsid w:val="009E24D2"/>
    <w:rsid w:val="009E290F"/>
    <w:rsid w:val="009E2A60"/>
    <w:rsid w:val="009E2F46"/>
    <w:rsid w:val="009E3222"/>
    <w:rsid w:val="009E3598"/>
    <w:rsid w:val="009E35A8"/>
    <w:rsid w:val="009E35FC"/>
    <w:rsid w:val="009E36E4"/>
    <w:rsid w:val="009E3E31"/>
    <w:rsid w:val="009E414D"/>
    <w:rsid w:val="009E448B"/>
    <w:rsid w:val="009E4541"/>
    <w:rsid w:val="009E459F"/>
    <w:rsid w:val="009E47B0"/>
    <w:rsid w:val="009E4AD6"/>
    <w:rsid w:val="009E4C54"/>
    <w:rsid w:val="009E503A"/>
    <w:rsid w:val="009E527C"/>
    <w:rsid w:val="009E565C"/>
    <w:rsid w:val="009E5890"/>
    <w:rsid w:val="009E6134"/>
    <w:rsid w:val="009E6399"/>
    <w:rsid w:val="009E662B"/>
    <w:rsid w:val="009E6848"/>
    <w:rsid w:val="009E6869"/>
    <w:rsid w:val="009E6B2A"/>
    <w:rsid w:val="009E6DFE"/>
    <w:rsid w:val="009E7474"/>
    <w:rsid w:val="009E78D3"/>
    <w:rsid w:val="009E78FF"/>
    <w:rsid w:val="009E7B06"/>
    <w:rsid w:val="009E7C62"/>
    <w:rsid w:val="009E7DEC"/>
    <w:rsid w:val="009F033C"/>
    <w:rsid w:val="009F04E4"/>
    <w:rsid w:val="009F0596"/>
    <w:rsid w:val="009F0684"/>
    <w:rsid w:val="009F0EF9"/>
    <w:rsid w:val="009F0FFF"/>
    <w:rsid w:val="009F130E"/>
    <w:rsid w:val="009F1440"/>
    <w:rsid w:val="009F14A6"/>
    <w:rsid w:val="009F178F"/>
    <w:rsid w:val="009F1909"/>
    <w:rsid w:val="009F1A42"/>
    <w:rsid w:val="009F1F18"/>
    <w:rsid w:val="009F2037"/>
    <w:rsid w:val="009F20F3"/>
    <w:rsid w:val="009F21C5"/>
    <w:rsid w:val="009F22E2"/>
    <w:rsid w:val="009F23CD"/>
    <w:rsid w:val="009F27CF"/>
    <w:rsid w:val="009F2BF3"/>
    <w:rsid w:val="009F3160"/>
    <w:rsid w:val="009F35AE"/>
    <w:rsid w:val="009F3F9D"/>
    <w:rsid w:val="009F3FF6"/>
    <w:rsid w:val="009F41EB"/>
    <w:rsid w:val="009F4238"/>
    <w:rsid w:val="009F42BF"/>
    <w:rsid w:val="009F4D5D"/>
    <w:rsid w:val="009F5089"/>
    <w:rsid w:val="009F51BA"/>
    <w:rsid w:val="009F530F"/>
    <w:rsid w:val="009F5CAE"/>
    <w:rsid w:val="009F5E7E"/>
    <w:rsid w:val="009F60F4"/>
    <w:rsid w:val="009F65EF"/>
    <w:rsid w:val="009F6F4C"/>
    <w:rsid w:val="009F6F71"/>
    <w:rsid w:val="009F75AD"/>
    <w:rsid w:val="009F75ED"/>
    <w:rsid w:val="009F76AE"/>
    <w:rsid w:val="009F7AF3"/>
    <w:rsid w:val="009F7E38"/>
    <w:rsid w:val="009F7EED"/>
    <w:rsid w:val="00A00377"/>
    <w:rsid w:val="00A004A6"/>
    <w:rsid w:val="00A005C7"/>
    <w:rsid w:val="00A00708"/>
    <w:rsid w:val="00A007B6"/>
    <w:rsid w:val="00A00825"/>
    <w:rsid w:val="00A00A31"/>
    <w:rsid w:val="00A00D8B"/>
    <w:rsid w:val="00A00E13"/>
    <w:rsid w:val="00A011EA"/>
    <w:rsid w:val="00A013DF"/>
    <w:rsid w:val="00A01526"/>
    <w:rsid w:val="00A01ACF"/>
    <w:rsid w:val="00A01AFA"/>
    <w:rsid w:val="00A01C0D"/>
    <w:rsid w:val="00A01E06"/>
    <w:rsid w:val="00A02107"/>
    <w:rsid w:val="00A0215D"/>
    <w:rsid w:val="00A0223E"/>
    <w:rsid w:val="00A0251F"/>
    <w:rsid w:val="00A02911"/>
    <w:rsid w:val="00A02B2A"/>
    <w:rsid w:val="00A02C11"/>
    <w:rsid w:val="00A02E6F"/>
    <w:rsid w:val="00A038F0"/>
    <w:rsid w:val="00A03ACF"/>
    <w:rsid w:val="00A03CE2"/>
    <w:rsid w:val="00A03E81"/>
    <w:rsid w:val="00A041A0"/>
    <w:rsid w:val="00A043EE"/>
    <w:rsid w:val="00A04F3B"/>
    <w:rsid w:val="00A05189"/>
    <w:rsid w:val="00A05B13"/>
    <w:rsid w:val="00A05BE0"/>
    <w:rsid w:val="00A05DA5"/>
    <w:rsid w:val="00A0657A"/>
    <w:rsid w:val="00A065B5"/>
    <w:rsid w:val="00A066F3"/>
    <w:rsid w:val="00A06731"/>
    <w:rsid w:val="00A0711D"/>
    <w:rsid w:val="00A07734"/>
    <w:rsid w:val="00A07765"/>
    <w:rsid w:val="00A07B6B"/>
    <w:rsid w:val="00A07BDE"/>
    <w:rsid w:val="00A07C46"/>
    <w:rsid w:val="00A07C9D"/>
    <w:rsid w:val="00A07E4F"/>
    <w:rsid w:val="00A07E63"/>
    <w:rsid w:val="00A1032B"/>
    <w:rsid w:val="00A1053B"/>
    <w:rsid w:val="00A1085A"/>
    <w:rsid w:val="00A10919"/>
    <w:rsid w:val="00A10A6A"/>
    <w:rsid w:val="00A10CAE"/>
    <w:rsid w:val="00A1145F"/>
    <w:rsid w:val="00A116D6"/>
    <w:rsid w:val="00A1177A"/>
    <w:rsid w:val="00A11818"/>
    <w:rsid w:val="00A11888"/>
    <w:rsid w:val="00A118D7"/>
    <w:rsid w:val="00A11950"/>
    <w:rsid w:val="00A11FB2"/>
    <w:rsid w:val="00A12353"/>
    <w:rsid w:val="00A1238C"/>
    <w:rsid w:val="00A1239A"/>
    <w:rsid w:val="00A1242E"/>
    <w:rsid w:val="00A1249B"/>
    <w:rsid w:val="00A12B8C"/>
    <w:rsid w:val="00A13202"/>
    <w:rsid w:val="00A13342"/>
    <w:rsid w:val="00A13394"/>
    <w:rsid w:val="00A1346B"/>
    <w:rsid w:val="00A1350B"/>
    <w:rsid w:val="00A13822"/>
    <w:rsid w:val="00A138DA"/>
    <w:rsid w:val="00A13981"/>
    <w:rsid w:val="00A13983"/>
    <w:rsid w:val="00A13BBE"/>
    <w:rsid w:val="00A13C36"/>
    <w:rsid w:val="00A13CCD"/>
    <w:rsid w:val="00A13F2F"/>
    <w:rsid w:val="00A1431D"/>
    <w:rsid w:val="00A1454D"/>
    <w:rsid w:val="00A14566"/>
    <w:rsid w:val="00A145EC"/>
    <w:rsid w:val="00A147B2"/>
    <w:rsid w:val="00A14BBE"/>
    <w:rsid w:val="00A14C8E"/>
    <w:rsid w:val="00A15230"/>
    <w:rsid w:val="00A1530A"/>
    <w:rsid w:val="00A1536B"/>
    <w:rsid w:val="00A154A4"/>
    <w:rsid w:val="00A157C6"/>
    <w:rsid w:val="00A1580D"/>
    <w:rsid w:val="00A158B3"/>
    <w:rsid w:val="00A159BB"/>
    <w:rsid w:val="00A15C03"/>
    <w:rsid w:val="00A15C99"/>
    <w:rsid w:val="00A163C7"/>
    <w:rsid w:val="00A1648B"/>
    <w:rsid w:val="00A165B8"/>
    <w:rsid w:val="00A16608"/>
    <w:rsid w:val="00A167AD"/>
    <w:rsid w:val="00A16AE9"/>
    <w:rsid w:val="00A16D19"/>
    <w:rsid w:val="00A170C6"/>
    <w:rsid w:val="00A171CA"/>
    <w:rsid w:val="00A17D33"/>
    <w:rsid w:val="00A17ECA"/>
    <w:rsid w:val="00A200D9"/>
    <w:rsid w:val="00A200FC"/>
    <w:rsid w:val="00A202E5"/>
    <w:rsid w:val="00A202E9"/>
    <w:rsid w:val="00A208C6"/>
    <w:rsid w:val="00A20BC2"/>
    <w:rsid w:val="00A20CC7"/>
    <w:rsid w:val="00A212A4"/>
    <w:rsid w:val="00A2149E"/>
    <w:rsid w:val="00A214E8"/>
    <w:rsid w:val="00A21556"/>
    <w:rsid w:val="00A2160D"/>
    <w:rsid w:val="00A2228C"/>
    <w:rsid w:val="00A224D8"/>
    <w:rsid w:val="00A2257B"/>
    <w:rsid w:val="00A225DA"/>
    <w:rsid w:val="00A229D0"/>
    <w:rsid w:val="00A22BB2"/>
    <w:rsid w:val="00A2353B"/>
    <w:rsid w:val="00A23A28"/>
    <w:rsid w:val="00A23A49"/>
    <w:rsid w:val="00A23DBC"/>
    <w:rsid w:val="00A23F65"/>
    <w:rsid w:val="00A23FE2"/>
    <w:rsid w:val="00A241A1"/>
    <w:rsid w:val="00A244A9"/>
    <w:rsid w:val="00A24539"/>
    <w:rsid w:val="00A24605"/>
    <w:rsid w:val="00A248E2"/>
    <w:rsid w:val="00A256A7"/>
    <w:rsid w:val="00A25D28"/>
    <w:rsid w:val="00A25F2D"/>
    <w:rsid w:val="00A25F41"/>
    <w:rsid w:val="00A25F97"/>
    <w:rsid w:val="00A261E5"/>
    <w:rsid w:val="00A26BB1"/>
    <w:rsid w:val="00A26F85"/>
    <w:rsid w:val="00A276C2"/>
    <w:rsid w:val="00A27C7D"/>
    <w:rsid w:val="00A27D10"/>
    <w:rsid w:val="00A27D47"/>
    <w:rsid w:val="00A3016E"/>
    <w:rsid w:val="00A302F3"/>
    <w:rsid w:val="00A30470"/>
    <w:rsid w:val="00A3058C"/>
    <w:rsid w:val="00A3094B"/>
    <w:rsid w:val="00A30F5E"/>
    <w:rsid w:val="00A3100B"/>
    <w:rsid w:val="00A313C8"/>
    <w:rsid w:val="00A31483"/>
    <w:rsid w:val="00A31A41"/>
    <w:rsid w:val="00A31B94"/>
    <w:rsid w:val="00A31FD5"/>
    <w:rsid w:val="00A32134"/>
    <w:rsid w:val="00A32360"/>
    <w:rsid w:val="00A32842"/>
    <w:rsid w:val="00A32CE8"/>
    <w:rsid w:val="00A336E4"/>
    <w:rsid w:val="00A33789"/>
    <w:rsid w:val="00A33A17"/>
    <w:rsid w:val="00A34264"/>
    <w:rsid w:val="00A34267"/>
    <w:rsid w:val="00A3449C"/>
    <w:rsid w:val="00A34542"/>
    <w:rsid w:val="00A34593"/>
    <w:rsid w:val="00A3467A"/>
    <w:rsid w:val="00A3481B"/>
    <w:rsid w:val="00A3483B"/>
    <w:rsid w:val="00A34AB4"/>
    <w:rsid w:val="00A34D8D"/>
    <w:rsid w:val="00A34EE8"/>
    <w:rsid w:val="00A3505F"/>
    <w:rsid w:val="00A3546B"/>
    <w:rsid w:val="00A357A2"/>
    <w:rsid w:val="00A357C3"/>
    <w:rsid w:val="00A35B6C"/>
    <w:rsid w:val="00A35C32"/>
    <w:rsid w:val="00A35C43"/>
    <w:rsid w:val="00A360A4"/>
    <w:rsid w:val="00A36191"/>
    <w:rsid w:val="00A36277"/>
    <w:rsid w:val="00A3628B"/>
    <w:rsid w:val="00A36334"/>
    <w:rsid w:val="00A365BD"/>
    <w:rsid w:val="00A36E96"/>
    <w:rsid w:val="00A37032"/>
    <w:rsid w:val="00A37C6C"/>
    <w:rsid w:val="00A37F64"/>
    <w:rsid w:val="00A402E7"/>
    <w:rsid w:val="00A407C2"/>
    <w:rsid w:val="00A40AA2"/>
    <w:rsid w:val="00A40AD9"/>
    <w:rsid w:val="00A40CBD"/>
    <w:rsid w:val="00A40D5B"/>
    <w:rsid w:val="00A411CC"/>
    <w:rsid w:val="00A4138D"/>
    <w:rsid w:val="00A413D9"/>
    <w:rsid w:val="00A41690"/>
    <w:rsid w:val="00A416C3"/>
    <w:rsid w:val="00A41852"/>
    <w:rsid w:val="00A41C6F"/>
    <w:rsid w:val="00A41E7D"/>
    <w:rsid w:val="00A41FA3"/>
    <w:rsid w:val="00A41FDA"/>
    <w:rsid w:val="00A4215C"/>
    <w:rsid w:val="00A4262C"/>
    <w:rsid w:val="00A4288F"/>
    <w:rsid w:val="00A42A58"/>
    <w:rsid w:val="00A42F3B"/>
    <w:rsid w:val="00A4308E"/>
    <w:rsid w:val="00A4317D"/>
    <w:rsid w:val="00A4319F"/>
    <w:rsid w:val="00A431D6"/>
    <w:rsid w:val="00A43369"/>
    <w:rsid w:val="00A43433"/>
    <w:rsid w:val="00A434F4"/>
    <w:rsid w:val="00A4392E"/>
    <w:rsid w:val="00A43A29"/>
    <w:rsid w:val="00A43D7C"/>
    <w:rsid w:val="00A4429A"/>
    <w:rsid w:val="00A44940"/>
    <w:rsid w:val="00A449E1"/>
    <w:rsid w:val="00A44D6C"/>
    <w:rsid w:val="00A4503B"/>
    <w:rsid w:val="00A450AA"/>
    <w:rsid w:val="00A45283"/>
    <w:rsid w:val="00A454DF"/>
    <w:rsid w:val="00A45697"/>
    <w:rsid w:val="00A45AAA"/>
    <w:rsid w:val="00A45AC5"/>
    <w:rsid w:val="00A45BD3"/>
    <w:rsid w:val="00A4628A"/>
    <w:rsid w:val="00A4665B"/>
    <w:rsid w:val="00A46B06"/>
    <w:rsid w:val="00A46BEF"/>
    <w:rsid w:val="00A470D7"/>
    <w:rsid w:val="00A471E4"/>
    <w:rsid w:val="00A473B5"/>
    <w:rsid w:val="00A4762D"/>
    <w:rsid w:val="00A47764"/>
    <w:rsid w:val="00A479CF"/>
    <w:rsid w:val="00A47B4B"/>
    <w:rsid w:val="00A47D6E"/>
    <w:rsid w:val="00A47DFB"/>
    <w:rsid w:val="00A47E01"/>
    <w:rsid w:val="00A47E93"/>
    <w:rsid w:val="00A47F58"/>
    <w:rsid w:val="00A47FC4"/>
    <w:rsid w:val="00A50482"/>
    <w:rsid w:val="00A5051F"/>
    <w:rsid w:val="00A5097C"/>
    <w:rsid w:val="00A50C75"/>
    <w:rsid w:val="00A50CFA"/>
    <w:rsid w:val="00A50D6C"/>
    <w:rsid w:val="00A50DB2"/>
    <w:rsid w:val="00A50DC5"/>
    <w:rsid w:val="00A5159A"/>
    <w:rsid w:val="00A515AD"/>
    <w:rsid w:val="00A516BF"/>
    <w:rsid w:val="00A51852"/>
    <w:rsid w:val="00A51F7F"/>
    <w:rsid w:val="00A5218A"/>
    <w:rsid w:val="00A521D5"/>
    <w:rsid w:val="00A52788"/>
    <w:rsid w:val="00A527AE"/>
    <w:rsid w:val="00A52D44"/>
    <w:rsid w:val="00A52F5E"/>
    <w:rsid w:val="00A530FD"/>
    <w:rsid w:val="00A5372B"/>
    <w:rsid w:val="00A54116"/>
    <w:rsid w:val="00A546E3"/>
    <w:rsid w:val="00A54DBD"/>
    <w:rsid w:val="00A54F70"/>
    <w:rsid w:val="00A55054"/>
    <w:rsid w:val="00A55072"/>
    <w:rsid w:val="00A551A5"/>
    <w:rsid w:val="00A551F5"/>
    <w:rsid w:val="00A55257"/>
    <w:rsid w:val="00A554C9"/>
    <w:rsid w:val="00A56193"/>
    <w:rsid w:val="00A56669"/>
    <w:rsid w:val="00A56743"/>
    <w:rsid w:val="00A567DD"/>
    <w:rsid w:val="00A56961"/>
    <w:rsid w:val="00A56B15"/>
    <w:rsid w:val="00A56B5E"/>
    <w:rsid w:val="00A56CDC"/>
    <w:rsid w:val="00A56FF9"/>
    <w:rsid w:val="00A57010"/>
    <w:rsid w:val="00A571CD"/>
    <w:rsid w:val="00A57231"/>
    <w:rsid w:val="00A5742B"/>
    <w:rsid w:val="00A577C7"/>
    <w:rsid w:val="00A578FD"/>
    <w:rsid w:val="00A57A0A"/>
    <w:rsid w:val="00A601D3"/>
    <w:rsid w:val="00A6034C"/>
    <w:rsid w:val="00A60489"/>
    <w:rsid w:val="00A604F0"/>
    <w:rsid w:val="00A60650"/>
    <w:rsid w:val="00A6087E"/>
    <w:rsid w:val="00A6112A"/>
    <w:rsid w:val="00A618B4"/>
    <w:rsid w:val="00A61B10"/>
    <w:rsid w:val="00A62038"/>
    <w:rsid w:val="00A621FB"/>
    <w:rsid w:val="00A6230E"/>
    <w:rsid w:val="00A62325"/>
    <w:rsid w:val="00A62831"/>
    <w:rsid w:val="00A63594"/>
    <w:rsid w:val="00A635F0"/>
    <w:rsid w:val="00A63B78"/>
    <w:rsid w:val="00A63CF2"/>
    <w:rsid w:val="00A63E47"/>
    <w:rsid w:val="00A63FD3"/>
    <w:rsid w:val="00A64431"/>
    <w:rsid w:val="00A64636"/>
    <w:rsid w:val="00A64695"/>
    <w:rsid w:val="00A64AF4"/>
    <w:rsid w:val="00A64D05"/>
    <w:rsid w:val="00A64E1A"/>
    <w:rsid w:val="00A64F0A"/>
    <w:rsid w:val="00A65700"/>
    <w:rsid w:val="00A6584A"/>
    <w:rsid w:val="00A65A8A"/>
    <w:rsid w:val="00A65E0A"/>
    <w:rsid w:val="00A65F2C"/>
    <w:rsid w:val="00A66105"/>
    <w:rsid w:val="00A6631A"/>
    <w:rsid w:val="00A663C2"/>
    <w:rsid w:val="00A66416"/>
    <w:rsid w:val="00A665B9"/>
    <w:rsid w:val="00A667F8"/>
    <w:rsid w:val="00A66F38"/>
    <w:rsid w:val="00A670D9"/>
    <w:rsid w:val="00A671CA"/>
    <w:rsid w:val="00A6737E"/>
    <w:rsid w:val="00A67402"/>
    <w:rsid w:val="00A674D9"/>
    <w:rsid w:val="00A679C4"/>
    <w:rsid w:val="00A7075C"/>
    <w:rsid w:val="00A71E34"/>
    <w:rsid w:val="00A7209B"/>
    <w:rsid w:val="00A72759"/>
    <w:rsid w:val="00A727B3"/>
    <w:rsid w:val="00A72815"/>
    <w:rsid w:val="00A72D42"/>
    <w:rsid w:val="00A73252"/>
    <w:rsid w:val="00A73FBC"/>
    <w:rsid w:val="00A7406E"/>
    <w:rsid w:val="00A7479F"/>
    <w:rsid w:val="00A749C8"/>
    <w:rsid w:val="00A74AFE"/>
    <w:rsid w:val="00A74D21"/>
    <w:rsid w:val="00A74D4C"/>
    <w:rsid w:val="00A74E23"/>
    <w:rsid w:val="00A74E74"/>
    <w:rsid w:val="00A74EC1"/>
    <w:rsid w:val="00A74FD1"/>
    <w:rsid w:val="00A7557C"/>
    <w:rsid w:val="00A756DA"/>
    <w:rsid w:val="00A75817"/>
    <w:rsid w:val="00A75A6C"/>
    <w:rsid w:val="00A7600B"/>
    <w:rsid w:val="00A7621F"/>
    <w:rsid w:val="00A76347"/>
    <w:rsid w:val="00A76415"/>
    <w:rsid w:val="00A76504"/>
    <w:rsid w:val="00A767EA"/>
    <w:rsid w:val="00A76844"/>
    <w:rsid w:val="00A76E93"/>
    <w:rsid w:val="00A7748D"/>
    <w:rsid w:val="00A77625"/>
    <w:rsid w:val="00A779E3"/>
    <w:rsid w:val="00A8034C"/>
    <w:rsid w:val="00A804CD"/>
    <w:rsid w:val="00A80820"/>
    <w:rsid w:val="00A809A7"/>
    <w:rsid w:val="00A80AC7"/>
    <w:rsid w:val="00A80E9C"/>
    <w:rsid w:val="00A811B2"/>
    <w:rsid w:val="00A8178F"/>
    <w:rsid w:val="00A821A2"/>
    <w:rsid w:val="00A823EC"/>
    <w:rsid w:val="00A8252B"/>
    <w:rsid w:val="00A826B6"/>
    <w:rsid w:val="00A832A4"/>
    <w:rsid w:val="00A833D5"/>
    <w:rsid w:val="00A8350E"/>
    <w:rsid w:val="00A837C6"/>
    <w:rsid w:val="00A83846"/>
    <w:rsid w:val="00A84716"/>
    <w:rsid w:val="00A84AD0"/>
    <w:rsid w:val="00A84E42"/>
    <w:rsid w:val="00A85077"/>
    <w:rsid w:val="00A8512B"/>
    <w:rsid w:val="00A8516C"/>
    <w:rsid w:val="00A851A7"/>
    <w:rsid w:val="00A85256"/>
    <w:rsid w:val="00A85739"/>
    <w:rsid w:val="00A85C6E"/>
    <w:rsid w:val="00A85F94"/>
    <w:rsid w:val="00A86137"/>
    <w:rsid w:val="00A86550"/>
    <w:rsid w:val="00A8656D"/>
    <w:rsid w:val="00A86843"/>
    <w:rsid w:val="00A86977"/>
    <w:rsid w:val="00A86E69"/>
    <w:rsid w:val="00A87207"/>
    <w:rsid w:val="00A872DB"/>
    <w:rsid w:val="00A873C3"/>
    <w:rsid w:val="00A87CF8"/>
    <w:rsid w:val="00A87D61"/>
    <w:rsid w:val="00A87E5F"/>
    <w:rsid w:val="00A9025F"/>
    <w:rsid w:val="00A906BC"/>
    <w:rsid w:val="00A906F6"/>
    <w:rsid w:val="00A909E1"/>
    <w:rsid w:val="00A909EA"/>
    <w:rsid w:val="00A90CF2"/>
    <w:rsid w:val="00A91113"/>
    <w:rsid w:val="00A911FB"/>
    <w:rsid w:val="00A912D4"/>
    <w:rsid w:val="00A91328"/>
    <w:rsid w:val="00A9134C"/>
    <w:rsid w:val="00A917DF"/>
    <w:rsid w:val="00A91988"/>
    <w:rsid w:val="00A91B06"/>
    <w:rsid w:val="00A91F8C"/>
    <w:rsid w:val="00A921FA"/>
    <w:rsid w:val="00A9220D"/>
    <w:rsid w:val="00A92561"/>
    <w:rsid w:val="00A9275F"/>
    <w:rsid w:val="00A92B70"/>
    <w:rsid w:val="00A92E03"/>
    <w:rsid w:val="00A92E48"/>
    <w:rsid w:val="00A93399"/>
    <w:rsid w:val="00A93591"/>
    <w:rsid w:val="00A935EB"/>
    <w:rsid w:val="00A93647"/>
    <w:rsid w:val="00A939AB"/>
    <w:rsid w:val="00A93C01"/>
    <w:rsid w:val="00A93C1C"/>
    <w:rsid w:val="00A93C42"/>
    <w:rsid w:val="00A93CBE"/>
    <w:rsid w:val="00A93DC5"/>
    <w:rsid w:val="00A93E69"/>
    <w:rsid w:val="00A9437E"/>
    <w:rsid w:val="00A948A1"/>
    <w:rsid w:val="00A94D5B"/>
    <w:rsid w:val="00A950D0"/>
    <w:rsid w:val="00A951AC"/>
    <w:rsid w:val="00A95821"/>
    <w:rsid w:val="00A95C0D"/>
    <w:rsid w:val="00A95C4D"/>
    <w:rsid w:val="00A95ED1"/>
    <w:rsid w:val="00A9615D"/>
    <w:rsid w:val="00A969E5"/>
    <w:rsid w:val="00A96B1E"/>
    <w:rsid w:val="00A96D7E"/>
    <w:rsid w:val="00A96F54"/>
    <w:rsid w:val="00A96FF2"/>
    <w:rsid w:val="00A970E4"/>
    <w:rsid w:val="00A97D38"/>
    <w:rsid w:val="00A97DF2"/>
    <w:rsid w:val="00A97E2E"/>
    <w:rsid w:val="00A97E77"/>
    <w:rsid w:val="00AA0132"/>
    <w:rsid w:val="00AA0658"/>
    <w:rsid w:val="00AA0BBC"/>
    <w:rsid w:val="00AA0D17"/>
    <w:rsid w:val="00AA11E5"/>
    <w:rsid w:val="00AA1499"/>
    <w:rsid w:val="00AA17B8"/>
    <w:rsid w:val="00AA1BCD"/>
    <w:rsid w:val="00AA2179"/>
    <w:rsid w:val="00AA2226"/>
    <w:rsid w:val="00AA23B4"/>
    <w:rsid w:val="00AA2544"/>
    <w:rsid w:val="00AA26D4"/>
    <w:rsid w:val="00AA2865"/>
    <w:rsid w:val="00AA2960"/>
    <w:rsid w:val="00AA2A7D"/>
    <w:rsid w:val="00AA2A91"/>
    <w:rsid w:val="00AA3350"/>
    <w:rsid w:val="00AA3369"/>
    <w:rsid w:val="00AA36AA"/>
    <w:rsid w:val="00AA376B"/>
    <w:rsid w:val="00AA3B75"/>
    <w:rsid w:val="00AA4148"/>
    <w:rsid w:val="00AA42E2"/>
    <w:rsid w:val="00AA469A"/>
    <w:rsid w:val="00AA4C24"/>
    <w:rsid w:val="00AA50EE"/>
    <w:rsid w:val="00AA54C0"/>
    <w:rsid w:val="00AA5D41"/>
    <w:rsid w:val="00AA5D51"/>
    <w:rsid w:val="00AA6198"/>
    <w:rsid w:val="00AA62E5"/>
    <w:rsid w:val="00AA64B4"/>
    <w:rsid w:val="00AA698D"/>
    <w:rsid w:val="00AA6AB7"/>
    <w:rsid w:val="00AA6ACE"/>
    <w:rsid w:val="00AA6BE2"/>
    <w:rsid w:val="00AA6D32"/>
    <w:rsid w:val="00AA6FB2"/>
    <w:rsid w:val="00AA7075"/>
    <w:rsid w:val="00AA7162"/>
    <w:rsid w:val="00AA767A"/>
    <w:rsid w:val="00AA79D6"/>
    <w:rsid w:val="00AA7B7D"/>
    <w:rsid w:val="00AA7DB2"/>
    <w:rsid w:val="00AB004F"/>
    <w:rsid w:val="00AB062B"/>
    <w:rsid w:val="00AB070A"/>
    <w:rsid w:val="00AB0907"/>
    <w:rsid w:val="00AB09F0"/>
    <w:rsid w:val="00AB0D58"/>
    <w:rsid w:val="00AB0DB3"/>
    <w:rsid w:val="00AB0E85"/>
    <w:rsid w:val="00AB1251"/>
    <w:rsid w:val="00AB172C"/>
    <w:rsid w:val="00AB1BE7"/>
    <w:rsid w:val="00AB1D07"/>
    <w:rsid w:val="00AB1D64"/>
    <w:rsid w:val="00AB200B"/>
    <w:rsid w:val="00AB22AA"/>
    <w:rsid w:val="00AB2685"/>
    <w:rsid w:val="00AB2692"/>
    <w:rsid w:val="00AB2B79"/>
    <w:rsid w:val="00AB3234"/>
    <w:rsid w:val="00AB36DD"/>
    <w:rsid w:val="00AB3762"/>
    <w:rsid w:val="00AB386B"/>
    <w:rsid w:val="00AB3B2D"/>
    <w:rsid w:val="00AB3C49"/>
    <w:rsid w:val="00AB3D1E"/>
    <w:rsid w:val="00AB3DF9"/>
    <w:rsid w:val="00AB41AC"/>
    <w:rsid w:val="00AB473B"/>
    <w:rsid w:val="00AB4985"/>
    <w:rsid w:val="00AB49C9"/>
    <w:rsid w:val="00AB4B7F"/>
    <w:rsid w:val="00AB4DDC"/>
    <w:rsid w:val="00AB4ECB"/>
    <w:rsid w:val="00AB4F0A"/>
    <w:rsid w:val="00AB53F3"/>
    <w:rsid w:val="00AB5647"/>
    <w:rsid w:val="00AB57D2"/>
    <w:rsid w:val="00AB5915"/>
    <w:rsid w:val="00AB5C7F"/>
    <w:rsid w:val="00AB61D6"/>
    <w:rsid w:val="00AB652E"/>
    <w:rsid w:val="00AB6DC1"/>
    <w:rsid w:val="00AB741B"/>
    <w:rsid w:val="00AB7B98"/>
    <w:rsid w:val="00AB7CED"/>
    <w:rsid w:val="00AB7FAE"/>
    <w:rsid w:val="00AC021E"/>
    <w:rsid w:val="00AC032E"/>
    <w:rsid w:val="00AC041F"/>
    <w:rsid w:val="00AC04D9"/>
    <w:rsid w:val="00AC0501"/>
    <w:rsid w:val="00AC09F5"/>
    <w:rsid w:val="00AC0CA1"/>
    <w:rsid w:val="00AC14D0"/>
    <w:rsid w:val="00AC173E"/>
    <w:rsid w:val="00AC1786"/>
    <w:rsid w:val="00AC1874"/>
    <w:rsid w:val="00AC1AA4"/>
    <w:rsid w:val="00AC1ADE"/>
    <w:rsid w:val="00AC1FF1"/>
    <w:rsid w:val="00AC2153"/>
    <w:rsid w:val="00AC2BE9"/>
    <w:rsid w:val="00AC2F2D"/>
    <w:rsid w:val="00AC3599"/>
    <w:rsid w:val="00AC3818"/>
    <w:rsid w:val="00AC4252"/>
    <w:rsid w:val="00AC4542"/>
    <w:rsid w:val="00AC4918"/>
    <w:rsid w:val="00AC5812"/>
    <w:rsid w:val="00AC596C"/>
    <w:rsid w:val="00AC5AF9"/>
    <w:rsid w:val="00AC5DB6"/>
    <w:rsid w:val="00AC5FCE"/>
    <w:rsid w:val="00AC5FDC"/>
    <w:rsid w:val="00AC6233"/>
    <w:rsid w:val="00AC6397"/>
    <w:rsid w:val="00AC6667"/>
    <w:rsid w:val="00AC66B1"/>
    <w:rsid w:val="00AC6941"/>
    <w:rsid w:val="00AC6A44"/>
    <w:rsid w:val="00AC6D87"/>
    <w:rsid w:val="00AC72CF"/>
    <w:rsid w:val="00AC75A4"/>
    <w:rsid w:val="00AC771A"/>
    <w:rsid w:val="00AC7B43"/>
    <w:rsid w:val="00AC7BB9"/>
    <w:rsid w:val="00AD00E8"/>
    <w:rsid w:val="00AD02AE"/>
    <w:rsid w:val="00AD0357"/>
    <w:rsid w:val="00AD070F"/>
    <w:rsid w:val="00AD09EC"/>
    <w:rsid w:val="00AD0B11"/>
    <w:rsid w:val="00AD0C2B"/>
    <w:rsid w:val="00AD0C44"/>
    <w:rsid w:val="00AD132D"/>
    <w:rsid w:val="00AD1682"/>
    <w:rsid w:val="00AD18F4"/>
    <w:rsid w:val="00AD1DE4"/>
    <w:rsid w:val="00AD23CD"/>
    <w:rsid w:val="00AD28B6"/>
    <w:rsid w:val="00AD2AA0"/>
    <w:rsid w:val="00AD3955"/>
    <w:rsid w:val="00AD395C"/>
    <w:rsid w:val="00AD3AB8"/>
    <w:rsid w:val="00AD3CA9"/>
    <w:rsid w:val="00AD447C"/>
    <w:rsid w:val="00AD4684"/>
    <w:rsid w:val="00AD4889"/>
    <w:rsid w:val="00AD496E"/>
    <w:rsid w:val="00AD4F6D"/>
    <w:rsid w:val="00AD4FD1"/>
    <w:rsid w:val="00AD507B"/>
    <w:rsid w:val="00AD52FE"/>
    <w:rsid w:val="00AD5320"/>
    <w:rsid w:val="00AD5536"/>
    <w:rsid w:val="00AD579E"/>
    <w:rsid w:val="00AD5823"/>
    <w:rsid w:val="00AD58A6"/>
    <w:rsid w:val="00AD594C"/>
    <w:rsid w:val="00AD5B3F"/>
    <w:rsid w:val="00AD5BE2"/>
    <w:rsid w:val="00AD5CAF"/>
    <w:rsid w:val="00AD5ECA"/>
    <w:rsid w:val="00AD61EB"/>
    <w:rsid w:val="00AD64BD"/>
    <w:rsid w:val="00AD650A"/>
    <w:rsid w:val="00AD66FA"/>
    <w:rsid w:val="00AD6724"/>
    <w:rsid w:val="00AD6A49"/>
    <w:rsid w:val="00AD6B8E"/>
    <w:rsid w:val="00AD6CB6"/>
    <w:rsid w:val="00AD73A6"/>
    <w:rsid w:val="00AD7613"/>
    <w:rsid w:val="00AD766C"/>
    <w:rsid w:val="00AD7994"/>
    <w:rsid w:val="00AD7A22"/>
    <w:rsid w:val="00AD7D54"/>
    <w:rsid w:val="00AD7F8F"/>
    <w:rsid w:val="00AE0097"/>
    <w:rsid w:val="00AE0122"/>
    <w:rsid w:val="00AE0327"/>
    <w:rsid w:val="00AE0434"/>
    <w:rsid w:val="00AE04ED"/>
    <w:rsid w:val="00AE0672"/>
    <w:rsid w:val="00AE07BA"/>
    <w:rsid w:val="00AE08F4"/>
    <w:rsid w:val="00AE0C10"/>
    <w:rsid w:val="00AE0FAD"/>
    <w:rsid w:val="00AE1672"/>
    <w:rsid w:val="00AE1AB8"/>
    <w:rsid w:val="00AE226B"/>
    <w:rsid w:val="00AE226D"/>
    <w:rsid w:val="00AE22B2"/>
    <w:rsid w:val="00AE22EA"/>
    <w:rsid w:val="00AE2395"/>
    <w:rsid w:val="00AE2686"/>
    <w:rsid w:val="00AE29F6"/>
    <w:rsid w:val="00AE2C27"/>
    <w:rsid w:val="00AE2C8D"/>
    <w:rsid w:val="00AE2CB1"/>
    <w:rsid w:val="00AE3297"/>
    <w:rsid w:val="00AE3C17"/>
    <w:rsid w:val="00AE3E39"/>
    <w:rsid w:val="00AE45C0"/>
    <w:rsid w:val="00AE4804"/>
    <w:rsid w:val="00AE5125"/>
    <w:rsid w:val="00AE5463"/>
    <w:rsid w:val="00AE54F3"/>
    <w:rsid w:val="00AE557A"/>
    <w:rsid w:val="00AE5818"/>
    <w:rsid w:val="00AE5836"/>
    <w:rsid w:val="00AE588B"/>
    <w:rsid w:val="00AE5E82"/>
    <w:rsid w:val="00AE62FE"/>
    <w:rsid w:val="00AE6968"/>
    <w:rsid w:val="00AE6CBB"/>
    <w:rsid w:val="00AE6D58"/>
    <w:rsid w:val="00AE6DE7"/>
    <w:rsid w:val="00AE7325"/>
    <w:rsid w:val="00AE7453"/>
    <w:rsid w:val="00AE76B8"/>
    <w:rsid w:val="00AE76F3"/>
    <w:rsid w:val="00AE77F9"/>
    <w:rsid w:val="00AE7B02"/>
    <w:rsid w:val="00AE7BC0"/>
    <w:rsid w:val="00AF009B"/>
    <w:rsid w:val="00AF00A1"/>
    <w:rsid w:val="00AF01D6"/>
    <w:rsid w:val="00AF0440"/>
    <w:rsid w:val="00AF0560"/>
    <w:rsid w:val="00AF0BE4"/>
    <w:rsid w:val="00AF0D12"/>
    <w:rsid w:val="00AF1326"/>
    <w:rsid w:val="00AF148D"/>
    <w:rsid w:val="00AF187B"/>
    <w:rsid w:val="00AF1C53"/>
    <w:rsid w:val="00AF22CA"/>
    <w:rsid w:val="00AF24A8"/>
    <w:rsid w:val="00AF2D9D"/>
    <w:rsid w:val="00AF2F5D"/>
    <w:rsid w:val="00AF3421"/>
    <w:rsid w:val="00AF36B0"/>
    <w:rsid w:val="00AF3889"/>
    <w:rsid w:val="00AF3C4A"/>
    <w:rsid w:val="00AF3D03"/>
    <w:rsid w:val="00AF3E77"/>
    <w:rsid w:val="00AF3FCE"/>
    <w:rsid w:val="00AF4007"/>
    <w:rsid w:val="00AF40CC"/>
    <w:rsid w:val="00AF4128"/>
    <w:rsid w:val="00AF4387"/>
    <w:rsid w:val="00AF47CC"/>
    <w:rsid w:val="00AF4825"/>
    <w:rsid w:val="00AF4B37"/>
    <w:rsid w:val="00AF51C9"/>
    <w:rsid w:val="00AF5DC2"/>
    <w:rsid w:val="00AF65FE"/>
    <w:rsid w:val="00AF6AFD"/>
    <w:rsid w:val="00AF6D19"/>
    <w:rsid w:val="00AF6E29"/>
    <w:rsid w:val="00AF767C"/>
    <w:rsid w:val="00AF7812"/>
    <w:rsid w:val="00B00215"/>
    <w:rsid w:val="00B00237"/>
    <w:rsid w:val="00B00DFC"/>
    <w:rsid w:val="00B01080"/>
    <w:rsid w:val="00B01223"/>
    <w:rsid w:val="00B0155A"/>
    <w:rsid w:val="00B01675"/>
    <w:rsid w:val="00B01750"/>
    <w:rsid w:val="00B01999"/>
    <w:rsid w:val="00B01C43"/>
    <w:rsid w:val="00B01F5F"/>
    <w:rsid w:val="00B0210B"/>
    <w:rsid w:val="00B022BE"/>
    <w:rsid w:val="00B023C9"/>
    <w:rsid w:val="00B02627"/>
    <w:rsid w:val="00B02732"/>
    <w:rsid w:val="00B02AC5"/>
    <w:rsid w:val="00B02DF7"/>
    <w:rsid w:val="00B0362D"/>
    <w:rsid w:val="00B03774"/>
    <w:rsid w:val="00B040B6"/>
    <w:rsid w:val="00B044EE"/>
    <w:rsid w:val="00B04AF6"/>
    <w:rsid w:val="00B04C0C"/>
    <w:rsid w:val="00B04CAE"/>
    <w:rsid w:val="00B04D06"/>
    <w:rsid w:val="00B04DCF"/>
    <w:rsid w:val="00B05141"/>
    <w:rsid w:val="00B053C7"/>
    <w:rsid w:val="00B053FF"/>
    <w:rsid w:val="00B0557D"/>
    <w:rsid w:val="00B05949"/>
    <w:rsid w:val="00B05C28"/>
    <w:rsid w:val="00B05C86"/>
    <w:rsid w:val="00B05C97"/>
    <w:rsid w:val="00B05DAB"/>
    <w:rsid w:val="00B05FFA"/>
    <w:rsid w:val="00B06497"/>
    <w:rsid w:val="00B066CF"/>
    <w:rsid w:val="00B066D9"/>
    <w:rsid w:val="00B0692D"/>
    <w:rsid w:val="00B06A7F"/>
    <w:rsid w:val="00B06BD0"/>
    <w:rsid w:val="00B06BDF"/>
    <w:rsid w:val="00B06F60"/>
    <w:rsid w:val="00B078A4"/>
    <w:rsid w:val="00B07A95"/>
    <w:rsid w:val="00B1009A"/>
    <w:rsid w:val="00B10705"/>
    <w:rsid w:val="00B10793"/>
    <w:rsid w:val="00B109EF"/>
    <w:rsid w:val="00B10AEC"/>
    <w:rsid w:val="00B10B38"/>
    <w:rsid w:val="00B10BA9"/>
    <w:rsid w:val="00B110E5"/>
    <w:rsid w:val="00B11796"/>
    <w:rsid w:val="00B1186D"/>
    <w:rsid w:val="00B11C4A"/>
    <w:rsid w:val="00B11C6D"/>
    <w:rsid w:val="00B11E7A"/>
    <w:rsid w:val="00B12205"/>
    <w:rsid w:val="00B12209"/>
    <w:rsid w:val="00B127F2"/>
    <w:rsid w:val="00B12930"/>
    <w:rsid w:val="00B12B9D"/>
    <w:rsid w:val="00B12BA8"/>
    <w:rsid w:val="00B1358D"/>
    <w:rsid w:val="00B13884"/>
    <w:rsid w:val="00B1391C"/>
    <w:rsid w:val="00B13C0F"/>
    <w:rsid w:val="00B13D63"/>
    <w:rsid w:val="00B13E5E"/>
    <w:rsid w:val="00B13EEE"/>
    <w:rsid w:val="00B14062"/>
    <w:rsid w:val="00B140E9"/>
    <w:rsid w:val="00B144D0"/>
    <w:rsid w:val="00B14527"/>
    <w:rsid w:val="00B1456D"/>
    <w:rsid w:val="00B14600"/>
    <w:rsid w:val="00B1483D"/>
    <w:rsid w:val="00B14ED8"/>
    <w:rsid w:val="00B151DA"/>
    <w:rsid w:val="00B1556E"/>
    <w:rsid w:val="00B15678"/>
    <w:rsid w:val="00B159B7"/>
    <w:rsid w:val="00B15BF7"/>
    <w:rsid w:val="00B15ECE"/>
    <w:rsid w:val="00B15F71"/>
    <w:rsid w:val="00B16520"/>
    <w:rsid w:val="00B1653A"/>
    <w:rsid w:val="00B1658C"/>
    <w:rsid w:val="00B1689B"/>
    <w:rsid w:val="00B16951"/>
    <w:rsid w:val="00B16F6E"/>
    <w:rsid w:val="00B174DA"/>
    <w:rsid w:val="00B17A1E"/>
    <w:rsid w:val="00B17B58"/>
    <w:rsid w:val="00B17E59"/>
    <w:rsid w:val="00B20299"/>
    <w:rsid w:val="00B20518"/>
    <w:rsid w:val="00B20689"/>
    <w:rsid w:val="00B206D2"/>
    <w:rsid w:val="00B209DE"/>
    <w:rsid w:val="00B20A62"/>
    <w:rsid w:val="00B216F3"/>
    <w:rsid w:val="00B21766"/>
    <w:rsid w:val="00B21948"/>
    <w:rsid w:val="00B220B7"/>
    <w:rsid w:val="00B2219E"/>
    <w:rsid w:val="00B2265A"/>
    <w:rsid w:val="00B22F95"/>
    <w:rsid w:val="00B23039"/>
    <w:rsid w:val="00B23478"/>
    <w:rsid w:val="00B23624"/>
    <w:rsid w:val="00B239CC"/>
    <w:rsid w:val="00B23A32"/>
    <w:rsid w:val="00B23BD8"/>
    <w:rsid w:val="00B23E19"/>
    <w:rsid w:val="00B23E49"/>
    <w:rsid w:val="00B240FB"/>
    <w:rsid w:val="00B24380"/>
    <w:rsid w:val="00B243A1"/>
    <w:rsid w:val="00B24D15"/>
    <w:rsid w:val="00B2545E"/>
    <w:rsid w:val="00B254A0"/>
    <w:rsid w:val="00B2563C"/>
    <w:rsid w:val="00B25F27"/>
    <w:rsid w:val="00B26149"/>
    <w:rsid w:val="00B26650"/>
    <w:rsid w:val="00B2697B"/>
    <w:rsid w:val="00B26A30"/>
    <w:rsid w:val="00B26C3D"/>
    <w:rsid w:val="00B26DC5"/>
    <w:rsid w:val="00B26DEE"/>
    <w:rsid w:val="00B26EB2"/>
    <w:rsid w:val="00B27230"/>
    <w:rsid w:val="00B272D9"/>
    <w:rsid w:val="00B27ABC"/>
    <w:rsid w:val="00B27B12"/>
    <w:rsid w:val="00B27B9C"/>
    <w:rsid w:val="00B27C06"/>
    <w:rsid w:val="00B27C78"/>
    <w:rsid w:val="00B27F72"/>
    <w:rsid w:val="00B3023C"/>
    <w:rsid w:val="00B302F7"/>
    <w:rsid w:val="00B309AD"/>
    <w:rsid w:val="00B30BE1"/>
    <w:rsid w:val="00B30E51"/>
    <w:rsid w:val="00B30E84"/>
    <w:rsid w:val="00B30FC6"/>
    <w:rsid w:val="00B31209"/>
    <w:rsid w:val="00B313FF"/>
    <w:rsid w:val="00B31995"/>
    <w:rsid w:val="00B31A2D"/>
    <w:rsid w:val="00B31A34"/>
    <w:rsid w:val="00B31C7B"/>
    <w:rsid w:val="00B32148"/>
    <w:rsid w:val="00B3225B"/>
    <w:rsid w:val="00B32577"/>
    <w:rsid w:val="00B327A2"/>
    <w:rsid w:val="00B330C9"/>
    <w:rsid w:val="00B330D5"/>
    <w:rsid w:val="00B3315D"/>
    <w:rsid w:val="00B33880"/>
    <w:rsid w:val="00B339BE"/>
    <w:rsid w:val="00B339D6"/>
    <w:rsid w:val="00B33F70"/>
    <w:rsid w:val="00B340A7"/>
    <w:rsid w:val="00B3411B"/>
    <w:rsid w:val="00B3413D"/>
    <w:rsid w:val="00B3434C"/>
    <w:rsid w:val="00B3446C"/>
    <w:rsid w:val="00B348EE"/>
    <w:rsid w:val="00B34D7E"/>
    <w:rsid w:val="00B34F50"/>
    <w:rsid w:val="00B35467"/>
    <w:rsid w:val="00B35AFC"/>
    <w:rsid w:val="00B35BE1"/>
    <w:rsid w:val="00B36336"/>
    <w:rsid w:val="00B369C9"/>
    <w:rsid w:val="00B370A7"/>
    <w:rsid w:val="00B3716D"/>
    <w:rsid w:val="00B37645"/>
    <w:rsid w:val="00B37A82"/>
    <w:rsid w:val="00B37D41"/>
    <w:rsid w:val="00B40217"/>
    <w:rsid w:val="00B40894"/>
    <w:rsid w:val="00B40BB4"/>
    <w:rsid w:val="00B40F23"/>
    <w:rsid w:val="00B40F51"/>
    <w:rsid w:val="00B40F76"/>
    <w:rsid w:val="00B41455"/>
    <w:rsid w:val="00B41C0B"/>
    <w:rsid w:val="00B41FE5"/>
    <w:rsid w:val="00B4227D"/>
    <w:rsid w:val="00B42314"/>
    <w:rsid w:val="00B42573"/>
    <w:rsid w:val="00B425EF"/>
    <w:rsid w:val="00B42B49"/>
    <w:rsid w:val="00B42B72"/>
    <w:rsid w:val="00B42E7C"/>
    <w:rsid w:val="00B42EAB"/>
    <w:rsid w:val="00B42FD3"/>
    <w:rsid w:val="00B432B1"/>
    <w:rsid w:val="00B4354B"/>
    <w:rsid w:val="00B43608"/>
    <w:rsid w:val="00B43644"/>
    <w:rsid w:val="00B43675"/>
    <w:rsid w:val="00B43C21"/>
    <w:rsid w:val="00B43D15"/>
    <w:rsid w:val="00B43D26"/>
    <w:rsid w:val="00B43F02"/>
    <w:rsid w:val="00B43F2C"/>
    <w:rsid w:val="00B43F79"/>
    <w:rsid w:val="00B445AC"/>
    <w:rsid w:val="00B4511D"/>
    <w:rsid w:val="00B4547D"/>
    <w:rsid w:val="00B458BD"/>
    <w:rsid w:val="00B45989"/>
    <w:rsid w:val="00B45A95"/>
    <w:rsid w:val="00B46072"/>
    <w:rsid w:val="00B462DF"/>
    <w:rsid w:val="00B46566"/>
    <w:rsid w:val="00B46D63"/>
    <w:rsid w:val="00B46FBF"/>
    <w:rsid w:val="00B470B6"/>
    <w:rsid w:val="00B47101"/>
    <w:rsid w:val="00B476B1"/>
    <w:rsid w:val="00B4783E"/>
    <w:rsid w:val="00B4784A"/>
    <w:rsid w:val="00B478DA"/>
    <w:rsid w:val="00B47ADA"/>
    <w:rsid w:val="00B47C64"/>
    <w:rsid w:val="00B47CF0"/>
    <w:rsid w:val="00B47D25"/>
    <w:rsid w:val="00B47EC6"/>
    <w:rsid w:val="00B500D1"/>
    <w:rsid w:val="00B50240"/>
    <w:rsid w:val="00B50656"/>
    <w:rsid w:val="00B507AC"/>
    <w:rsid w:val="00B50CB7"/>
    <w:rsid w:val="00B50CF2"/>
    <w:rsid w:val="00B50F20"/>
    <w:rsid w:val="00B510C8"/>
    <w:rsid w:val="00B5163D"/>
    <w:rsid w:val="00B517F3"/>
    <w:rsid w:val="00B51991"/>
    <w:rsid w:val="00B51CC4"/>
    <w:rsid w:val="00B51F68"/>
    <w:rsid w:val="00B5210E"/>
    <w:rsid w:val="00B524B1"/>
    <w:rsid w:val="00B524C2"/>
    <w:rsid w:val="00B52866"/>
    <w:rsid w:val="00B52A6F"/>
    <w:rsid w:val="00B52C84"/>
    <w:rsid w:val="00B52D02"/>
    <w:rsid w:val="00B535C1"/>
    <w:rsid w:val="00B5363E"/>
    <w:rsid w:val="00B53688"/>
    <w:rsid w:val="00B53923"/>
    <w:rsid w:val="00B53B56"/>
    <w:rsid w:val="00B53B70"/>
    <w:rsid w:val="00B53E1A"/>
    <w:rsid w:val="00B53FD1"/>
    <w:rsid w:val="00B541C2"/>
    <w:rsid w:val="00B54372"/>
    <w:rsid w:val="00B54538"/>
    <w:rsid w:val="00B54659"/>
    <w:rsid w:val="00B54C19"/>
    <w:rsid w:val="00B54C2D"/>
    <w:rsid w:val="00B54EB5"/>
    <w:rsid w:val="00B550E7"/>
    <w:rsid w:val="00B553E1"/>
    <w:rsid w:val="00B55461"/>
    <w:rsid w:val="00B5555F"/>
    <w:rsid w:val="00B5566B"/>
    <w:rsid w:val="00B55DB5"/>
    <w:rsid w:val="00B56002"/>
    <w:rsid w:val="00B5606D"/>
    <w:rsid w:val="00B5623E"/>
    <w:rsid w:val="00B56881"/>
    <w:rsid w:val="00B568C8"/>
    <w:rsid w:val="00B56AB0"/>
    <w:rsid w:val="00B56D21"/>
    <w:rsid w:val="00B56D28"/>
    <w:rsid w:val="00B56FDA"/>
    <w:rsid w:val="00B574E6"/>
    <w:rsid w:val="00B5798A"/>
    <w:rsid w:val="00B57A12"/>
    <w:rsid w:val="00B57CB9"/>
    <w:rsid w:val="00B57FF3"/>
    <w:rsid w:val="00B6016F"/>
    <w:rsid w:val="00B603D2"/>
    <w:rsid w:val="00B60431"/>
    <w:rsid w:val="00B604A0"/>
    <w:rsid w:val="00B60708"/>
    <w:rsid w:val="00B60A71"/>
    <w:rsid w:val="00B60D25"/>
    <w:rsid w:val="00B60D3E"/>
    <w:rsid w:val="00B61275"/>
    <w:rsid w:val="00B6142F"/>
    <w:rsid w:val="00B61500"/>
    <w:rsid w:val="00B615A6"/>
    <w:rsid w:val="00B616FC"/>
    <w:rsid w:val="00B6195E"/>
    <w:rsid w:val="00B61AFB"/>
    <w:rsid w:val="00B61CCF"/>
    <w:rsid w:val="00B61D84"/>
    <w:rsid w:val="00B61DBD"/>
    <w:rsid w:val="00B6257E"/>
    <w:rsid w:val="00B62A12"/>
    <w:rsid w:val="00B62F63"/>
    <w:rsid w:val="00B63058"/>
    <w:rsid w:val="00B6370D"/>
    <w:rsid w:val="00B63B95"/>
    <w:rsid w:val="00B6409F"/>
    <w:rsid w:val="00B64331"/>
    <w:rsid w:val="00B64685"/>
    <w:rsid w:val="00B64D50"/>
    <w:rsid w:val="00B64E2F"/>
    <w:rsid w:val="00B64F24"/>
    <w:rsid w:val="00B6568E"/>
    <w:rsid w:val="00B65C11"/>
    <w:rsid w:val="00B65D57"/>
    <w:rsid w:val="00B65DA5"/>
    <w:rsid w:val="00B6621B"/>
    <w:rsid w:val="00B6665D"/>
    <w:rsid w:val="00B667D0"/>
    <w:rsid w:val="00B66C5C"/>
    <w:rsid w:val="00B66F3F"/>
    <w:rsid w:val="00B67202"/>
    <w:rsid w:val="00B67836"/>
    <w:rsid w:val="00B67B7C"/>
    <w:rsid w:val="00B67DDF"/>
    <w:rsid w:val="00B67E3C"/>
    <w:rsid w:val="00B70306"/>
    <w:rsid w:val="00B703B6"/>
    <w:rsid w:val="00B704B8"/>
    <w:rsid w:val="00B70823"/>
    <w:rsid w:val="00B71642"/>
    <w:rsid w:val="00B71B14"/>
    <w:rsid w:val="00B71CE0"/>
    <w:rsid w:val="00B721E2"/>
    <w:rsid w:val="00B721F4"/>
    <w:rsid w:val="00B7224D"/>
    <w:rsid w:val="00B726F7"/>
    <w:rsid w:val="00B72A1F"/>
    <w:rsid w:val="00B72A94"/>
    <w:rsid w:val="00B72AA0"/>
    <w:rsid w:val="00B72B7E"/>
    <w:rsid w:val="00B7302E"/>
    <w:rsid w:val="00B73824"/>
    <w:rsid w:val="00B73AB4"/>
    <w:rsid w:val="00B73AFE"/>
    <w:rsid w:val="00B73B03"/>
    <w:rsid w:val="00B73D0F"/>
    <w:rsid w:val="00B73D2A"/>
    <w:rsid w:val="00B740E3"/>
    <w:rsid w:val="00B74294"/>
    <w:rsid w:val="00B7444E"/>
    <w:rsid w:val="00B744CA"/>
    <w:rsid w:val="00B7452E"/>
    <w:rsid w:val="00B748B3"/>
    <w:rsid w:val="00B74BE5"/>
    <w:rsid w:val="00B74CD3"/>
    <w:rsid w:val="00B74D3B"/>
    <w:rsid w:val="00B752AF"/>
    <w:rsid w:val="00B75353"/>
    <w:rsid w:val="00B754BF"/>
    <w:rsid w:val="00B7557C"/>
    <w:rsid w:val="00B75868"/>
    <w:rsid w:val="00B7587F"/>
    <w:rsid w:val="00B75A21"/>
    <w:rsid w:val="00B75B56"/>
    <w:rsid w:val="00B75C4C"/>
    <w:rsid w:val="00B7608E"/>
    <w:rsid w:val="00B76479"/>
    <w:rsid w:val="00B76546"/>
    <w:rsid w:val="00B76699"/>
    <w:rsid w:val="00B76842"/>
    <w:rsid w:val="00B76987"/>
    <w:rsid w:val="00B76A62"/>
    <w:rsid w:val="00B76ADD"/>
    <w:rsid w:val="00B76B13"/>
    <w:rsid w:val="00B76F87"/>
    <w:rsid w:val="00B76FC8"/>
    <w:rsid w:val="00B77068"/>
    <w:rsid w:val="00B7711D"/>
    <w:rsid w:val="00B775E5"/>
    <w:rsid w:val="00B77ABA"/>
    <w:rsid w:val="00B77D17"/>
    <w:rsid w:val="00B77E95"/>
    <w:rsid w:val="00B80BA8"/>
    <w:rsid w:val="00B81CE2"/>
    <w:rsid w:val="00B81DAC"/>
    <w:rsid w:val="00B81F7B"/>
    <w:rsid w:val="00B82223"/>
    <w:rsid w:val="00B8256A"/>
    <w:rsid w:val="00B82D5A"/>
    <w:rsid w:val="00B83184"/>
    <w:rsid w:val="00B83186"/>
    <w:rsid w:val="00B83308"/>
    <w:rsid w:val="00B83721"/>
    <w:rsid w:val="00B83815"/>
    <w:rsid w:val="00B83831"/>
    <w:rsid w:val="00B8383E"/>
    <w:rsid w:val="00B83900"/>
    <w:rsid w:val="00B839FC"/>
    <w:rsid w:val="00B83D98"/>
    <w:rsid w:val="00B84B69"/>
    <w:rsid w:val="00B85373"/>
    <w:rsid w:val="00B85700"/>
    <w:rsid w:val="00B8580A"/>
    <w:rsid w:val="00B858CA"/>
    <w:rsid w:val="00B8597F"/>
    <w:rsid w:val="00B85AEE"/>
    <w:rsid w:val="00B85E50"/>
    <w:rsid w:val="00B85FA4"/>
    <w:rsid w:val="00B8613B"/>
    <w:rsid w:val="00B8632E"/>
    <w:rsid w:val="00B863C6"/>
    <w:rsid w:val="00B86473"/>
    <w:rsid w:val="00B86B06"/>
    <w:rsid w:val="00B86BC4"/>
    <w:rsid w:val="00B86BE3"/>
    <w:rsid w:val="00B86E51"/>
    <w:rsid w:val="00B875D8"/>
    <w:rsid w:val="00B87680"/>
    <w:rsid w:val="00B87790"/>
    <w:rsid w:val="00B87A4F"/>
    <w:rsid w:val="00B87B0D"/>
    <w:rsid w:val="00B87B82"/>
    <w:rsid w:val="00B87BDD"/>
    <w:rsid w:val="00B90799"/>
    <w:rsid w:val="00B90846"/>
    <w:rsid w:val="00B90C55"/>
    <w:rsid w:val="00B90D41"/>
    <w:rsid w:val="00B9130B"/>
    <w:rsid w:val="00B9139A"/>
    <w:rsid w:val="00B91437"/>
    <w:rsid w:val="00B91614"/>
    <w:rsid w:val="00B91901"/>
    <w:rsid w:val="00B91B3B"/>
    <w:rsid w:val="00B91B60"/>
    <w:rsid w:val="00B91BC3"/>
    <w:rsid w:val="00B91C67"/>
    <w:rsid w:val="00B926C5"/>
    <w:rsid w:val="00B92993"/>
    <w:rsid w:val="00B9299F"/>
    <w:rsid w:val="00B92F07"/>
    <w:rsid w:val="00B935DF"/>
    <w:rsid w:val="00B93689"/>
    <w:rsid w:val="00B93904"/>
    <w:rsid w:val="00B939D4"/>
    <w:rsid w:val="00B93A14"/>
    <w:rsid w:val="00B93B94"/>
    <w:rsid w:val="00B93C4A"/>
    <w:rsid w:val="00B9406D"/>
    <w:rsid w:val="00B94321"/>
    <w:rsid w:val="00B943DD"/>
    <w:rsid w:val="00B94456"/>
    <w:rsid w:val="00B945E3"/>
    <w:rsid w:val="00B94A99"/>
    <w:rsid w:val="00B950FA"/>
    <w:rsid w:val="00B95171"/>
    <w:rsid w:val="00B953F9"/>
    <w:rsid w:val="00B95A91"/>
    <w:rsid w:val="00B95D63"/>
    <w:rsid w:val="00B95EE4"/>
    <w:rsid w:val="00B9610A"/>
    <w:rsid w:val="00B962BC"/>
    <w:rsid w:val="00B962D8"/>
    <w:rsid w:val="00B96BAC"/>
    <w:rsid w:val="00B96C35"/>
    <w:rsid w:val="00B97635"/>
    <w:rsid w:val="00B977E6"/>
    <w:rsid w:val="00B97C2D"/>
    <w:rsid w:val="00B97DA7"/>
    <w:rsid w:val="00BA02E5"/>
    <w:rsid w:val="00BA0B6F"/>
    <w:rsid w:val="00BA0BF6"/>
    <w:rsid w:val="00BA11CE"/>
    <w:rsid w:val="00BA123E"/>
    <w:rsid w:val="00BA12BE"/>
    <w:rsid w:val="00BA1596"/>
    <w:rsid w:val="00BA15FA"/>
    <w:rsid w:val="00BA1685"/>
    <w:rsid w:val="00BA1CC5"/>
    <w:rsid w:val="00BA1DC9"/>
    <w:rsid w:val="00BA2113"/>
    <w:rsid w:val="00BA295B"/>
    <w:rsid w:val="00BA2A78"/>
    <w:rsid w:val="00BA2B89"/>
    <w:rsid w:val="00BA3266"/>
    <w:rsid w:val="00BA3647"/>
    <w:rsid w:val="00BA3720"/>
    <w:rsid w:val="00BA388F"/>
    <w:rsid w:val="00BA3912"/>
    <w:rsid w:val="00BA401E"/>
    <w:rsid w:val="00BA47C3"/>
    <w:rsid w:val="00BA48AE"/>
    <w:rsid w:val="00BA497F"/>
    <w:rsid w:val="00BA515A"/>
    <w:rsid w:val="00BA51BC"/>
    <w:rsid w:val="00BA5328"/>
    <w:rsid w:val="00BA5431"/>
    <w:rsid w:val="00BA56E7"/>
    <w:rsid w:val="00BA5B39"/>
    <w:rsid w:val="00BA5C63"/>
    <w:rsid w:val="00BA6A6F"/>
    <w:rsid w:val="00BA6A87"/>
    <w:rsid w:val="00BA6A8F"/>
    <w:rsid w:val="00BA6EDF"/>
    <w:rsid w:val="00BA72FC"/>
    <w:rsid w:val="00BA76CC"/>
    <w:rsid w:val="00BA788C"/>
    <w:rsid w:val="00BA78E0"/>
    <w:rsid w:val="00BA7F70"/>
    <w:rsid w:val="00BB0430"/>
    <w:rsid w:val="00BB06A2"/>
    <w:rsid w:val="00BB072F"/>
    <w:rsid w:val="00BB0C01"/>
    <w:rsid w:val="00BB0CEA"/>
    <w:rsid w:val="00BB12A5"/>
    <w:rsid w:val="00BB1341"/>
    <w:rsid w:val="00BB152F"/>
    <w:rsid w:val="00BB162B"/>
    <w:rsid w:val="00BB188C"/>
    <w:rsid w:val="00BB1996"/>
    <w:rsid w:val="00BB19BA"/>
    <w:rsid w:val="00BB1E9F"/>
    <w:rsid w:val="00BB2001"/>
    <w:rsid w:val="00BB241E"/>
    <w:rsid w:val="00BB253D"/>
    <w:rsid w:val="00BB25F8"/>
    <w:rsid w:val="00BB2B81"/>
    <w:rsid w:val="00BB2BF5"/>
    <w:rsid w:val="00BB32B3"/>
    <w:rsid w:val="00BB34E9"/>
    <w:rsid w:val="00BB35AF"/>
    <w:rsid w:val="00BB3B52"/>
    <w:rsid w:val="00BB3F4F"/>
    <w:rsid w:val="00BB409E"/>
    <w:rsid w:val="00BB42EA"/>
    <w:rsid w:val="00BB44A1"/>
    <w:rsid w:val="00BB44EE"/>
    <w:rsid w:val="00BB4839"/>
    <w:rsid w:val="00BB4971"/>
    <w:rsid w:val="00BB507B"/>
    <w:rsid w:val="00BB510E"/>
    <w:rsid w:val="00BB5268"/>
    <w:rsid w:val="00BB5416"/>
    <w:rsid w:val="00BB5999"/>
    <w:rsid w:val="00BB5A8C"/>
    <w:rsid w:val="00BB5B73"/>
    <w:rsid w:val="00BB5CEB"/>
    <w:rsid w:val="00BB60D7"/>
    <w:rsid w:val="00BB647F"/>
    <w:rsid w:val="00BB6534"/>
    <w:rsid w:val="00BB6603"/>
    <w:rsid w:val="00BB6BF3"/>
    <w:rsid w:val="00BB6BF4"/>
    <w:rsid w:val="00BB6FFB"/>
    <w:rsid w:val="00BB740B"/>
    <w:rsid w:val="00BB74EA"/>
    <w:rsid w:val="00BB77F8"/>
    <w:rsid w:val="00BB7833"/>
    <w:rsid w:val="00BB7BDA"/>
    <w:rsid w:val="00BB7CF2"/>
    <w:rsid w:val="00BB7D83"/>
    <w:rsid w:val="00BB7DA1"/>
    <w:rsid w:val="00BB7E4D"/>
    <w:rsid w:val="00BB7F6A"/>
    <w:rsid w:val="00BC0000"/>
    <w:rsid w:val="00BC00A4"/>
    <w:rsid w:val="00BC0852"/>
    <w:rsid w:val="00BC091C"/>
    <w:rsid w:val="00BC0A71"/>
    <w:rsid w:val="00BC0CCF"/>
    <w:rsid w:val="00BC0E35"/>
    <w:rsid w:val="00BC1040"/>
    <w:rsid w:val="00BC15B1"/>
    <w:rsid w:val="00BC15DC"/>
    <w:rsid w:val="00BC178D"/>
    <w:rsid w:val="00BC1B24"/>
    <w:rsid w:val="00BC1C45"/>
    <w:rsid w:val="00BC1C5D"/>
    <w:rsid w:val="00BC1E44"/>
    <w:rsid w:val="00BC209A"/>
    <w:rsid w:val="00BC217F"/>
    <w:rsid w:val="00BC245E"/>
    <w:rsid w:val="00BC254A"/>
    <w:rsid w:val="00BC2B82"/>
    <w:rsid w:val="00BC2C54"/>
    <w:rsid w:val="00BC2E39"/>
    <w:rsid w:val="00BC30A9"/>
    <w:rsid w:val="00BC31A0"/>
    <w:rsid w:val="00BC3662"/>
    <w:rsid w:val="00BC3695"/>
    <w:rsid w:val="00BC3749"/>
    <w:rsid w:val="00BC3824"/>
    <w:rsid w:val="00BC3F99"/>
    <w:rsid w:val="00BC4436"/>
    <w:rsid w:val="00BC4556"/>
    <w:rsid w:val="00BC4627"/>
    <w:rsid w:val="00BC4D33"/>
    <w:rsid w:val="00BC4D68"/>
    <w:rsid w:val="00BC4F27"/>
    <w:rsid w:val="00BC4F52"/>
    <w:rsid w:val="00BC51F0"/>
    <w:rsid w:val="00BC5266"/>
    <w:rsid w:val="00BC5792"/>
    <w:rsid w:val="00BC5A02"/>
    <w:rsid w:val="00BC5A8D"/>
    <w:rsid w:val="00BC5BAE"/>
    <w:rsid w:val="00BC6064"/>
    <w:rsid w:val="00BC629B"/>
    <w:rsid w:val="00BC62B2"/>
    <w:rsid w:val="00BC63A2"/>
    <w:rsid w:val="00BC644B"/>
    <w:rsid w:val="00BC6752"/>
    <w:rsid w:val="00BC6781"/>
    <w:rsid w:val="00BC6D47"/>
    <w:rsid w:val="00BC705C"/>
    <w:rsid w:val="00BC73D8"/>
    <w:rsid w:val="00BC7D69"/>
    <w:rsid w:val="00BC7DC0"/>
    <w:rsid w:val="00BC7E62"/>
    <w:rsid w:val="00BC7ED2"/>
    <w:rsid w:val="00BD06A6"/>
    <w:rsid w:val="00BD06A7"/>
    <w:rsid w:val="00BD0715"/>
    <w:rsid w:val="00BD100C"/>
    <w:rsid w:val="00BD11E9"/>
    <w:rsid w:val="00BD13D7"/>
    <w:rsid w:val="00BD17EF"/>
    <w:rsid w:val="00BD18DD"/>
    <w:rsid w:val="00BD210E"/>
    <w:rsid w:val="00BD27D6"/>
    <w:rsid w:val="00BD2805"/>
    <w:rsid w:val="00BD2D3E"/>
    <w:rsid w:val="00BD2E70"/>
    <w:rsid w:val="00BD3232"/>
    <w:rsid w:val="00BD33BE"/>
    <w:rsid w:val="00BD3826"/>
    <w:rsid w:val="00BD3EBF"/>
    <w:rsid w:val="00BD44A5"/>
    <w:rsid w:val="00BD44CE"/>
    <w:rsid w:val="00BD4C52"/>
    <w:rsid w:val="00BD4DA5"/>
    <w:rsid w:val="00BD4E7A"/>
    <w:rsid w:val="00BD5083"/>
    <w:rsid w:val="00BD531A"/>
    <w:rsid w:val="00BD5333"/>
    <w:rsid w:val="00BD535F"/>
    <w:rsid w:val="00BD54B2"/>
    <w:rsid w:val="00BD55AE"/>
    <w:rsid w:val="00BD5786"/>
    <w:rsid w:val="00BD5B33"/>
    <w:rsid w:val="00BD5CBB"/>
    <w:rsid w:val="00BD628C"/>
    <w:rsid w:val="00BD65AC"/>
    <w:rsid w:val="00BD6D19"/>
    <w:rsid w:val="00BD6D61"/>
    <w:rsid w:val="00BD705B"/>
    <w:rsid w:val="00BD70E9"/>
    <w:rsid w:val="00BD74B4"/>
    <w:rsid w:val="00BD752D"/>
    <w:rsid w:val="00BD7670"/>
    <w:rsid w:val="00BD7A89"/>
    <w:rsid w:val="00BD7DC3"/>
    <w:rsid w:val="00BE0050"/>
    <w:rsid w:val="00BE011F"/>
    <w:rsid w:val="00BE05A6"/>
    <w:rsid w:val="00BE06A0"/>
    <w:rsid w:val="00BE088A"/>
    <w:rsid w:val="00BE0C22"/>
    <w:rsid w:val="00BE0CCC"/>
    <w:rsid w:val="00BE0DA3"/>
    <w:rsid w:val="00BE0DD4"/>
    <w:rsid w:val="00BE0DF6"/>
    <w:rsid w:val="00BE11FE"/>
    <w:rsid w:val="00BE1409"/>
    <w:rsid w:val="00BE1A91"/>
    <w:rsid w:val="00BE1F7D"/>
    <w:rsid w:val="00BE241A"/>
    <w:rsid w:val="00BE285B"/>
    <w:rsid w:val="00BE292B"/>
    <w:rsid w:val="00BE2AFA"/>
    <w:rsid w:val="00BE2B18"/>
    <w:rsid w:val="00BE2E85"/>
    <w:rsid w:val="00BE36CF"/>
    <w:rsid w:val="00BE3BA5"/>
    <w:rsid w:val="00BE4A8E"/>
    <w:rsid w:val="00BE4C5C"/>
    <w:rsid w:val="00BE5054"/>
    <w:rsid w:val="00BE5AF9"/>
    <w:rsid w:val="00BE5D55"/>
    <w:rsid w:val="00BE5EAE"/>
    <w:rsid w:val="00BE6706"/>
    <w:rsid w:val="00BE6970"/>
    <w:rsid w:val="00BE6D3F"/>
    <w:rsid w:val="00BE6DBE"/>
    <w:rsid w:val="00BE6F5F"/>
    <w:rsid w:val="00BE6FD1"/>
    <w:rsid w:val="00BE7287"/>
    <w:rsid w:val="00BE79AC"/>
    <w:rsid w:val="00BE7B10"/>
    <w:rsid w:val="00BE7D22"/>
    <w:rsid w:val="00BE7DFE"/>
    <w:rsid w:val="00BE7FA5"/>
    <w:rsid w:val="00BF00C1"/>
    <w:rsid w:val="00BF030D"/>
    <w:rsid w:val="00BF0CAE"/>
    <w:rsid w:val="00BF0E2C"/>
    <w:rsid w:val="00BF0ED9"/>
    <w:rsid w:val="00BF10AC"/>
    <w:rsid w:val="00BF17C5"/>
    <w:rsid w:val="00BF187C"/>
    <w:rsid w:val="00BF19B6"/>
    <w:rsid w:val="00BF1D24"/>
    <w:rsid w:val="00BF1EDA"/>
    <w:rsid w:val="00BF1F34"/>
    <w:rsid w:val="00BF2FD8"/>
    <w:rsid w:val="00BF31FE"/>
    <w:rsid w:val="00BF3539"/>
    <w:rsid w:val="00BF383E"/>
    <w:rsid w:val="00BF388C"/>
    <w:rsid w:val="00BF38A1"/>
    <w:rsid w:val="00BF4068"/>
    <w:rsid w:val="00BF46D5"/>
    <w:rsid w:val="00BF48CB"/>
    <w:rsid w:val="00BF4A59"/>
    <w:rsid w:val="00BF4C7A"/>
    <w:rsid w:val="00BF53C5"/>
    <w:rsid w:val="00BF56AE"/>
    <w:rsid w:val="00BF59E2"/>
    <w:rsid w:val="00BF5E91"/>
    <w:rsid w:val="00BF6093"/>
    <w:rsid w:val="00BF6098"/>
    <w:rsid w:val="00BF60A5"/>
    <w:rsid w:val="00BF60CE"/>
    <w:rsid w:val="00BF61C9"/>
    <w:rsid w:val="00BF6259"/>
    <w:rsid w:val="00BF655B"/>
    <w:rsid w:val="00BF6C06"/>
    <w:rsid w:val="00BF72A8"/>
    <w:rsid w:val="00BF7582"/>
    <w:rsid w:val="00BF7F9C"/>
    <w:rsid w:val="00C003CA"/>
    <w:rsid w:val="00C00431"/>
    <w:rsid w:val="00C008AE"/>
    <w:rsid w:val="00C00E3A"/>
    <w:rsid w:val="00C012FA"/>
    <w:rsid w:val="00C0131A"/>
    <w:rsid w:val="00C01601"/>
    <w:rsid w:val="00C01C3A"/>
    <w:rsid w:val="00C021A1"/>
    <w:rsid w:val="00C02569"/>
    <w:rsid w:val="00C0267A"/>
    <w:rsid w:val="00C02B03"/>
    <w:rsid w:val="00C02CE5"/>
    <w:rsid w:val="00C02DDF"/>
    <w:rsid w:val="00C02E16"/>
    <w:rsid w:val="00C02F7B"/>
    <w:rsid w:val="00C03030"/>
    <w:rsid w:val="00C03045"/>
    <w:rsid w:val="00C035DF"/>
    <w:rsid w:val="00C03BEB"/>
    <w:rsid w:val="00C042EA"/>
    <w:rsid w:val="00C049B3"/>
    <w:rsid w:val="00C04A02"/>
    <w:rsid w:val="00C04D3E"/>
    <w:rsid w:val="00C04DCB"/>
    <w:rsid w:val="00C05038"/>
    <w:rsid w:val="00C0505D"/>
    <w:rsid w:val="00C053B2"/>
    <w:rsid w:val="00C0590E"/>
    <w:rsid w:val="00C05B13"/>
    <w:rsid w:val="00C05B3D"/>
    <w:rsid w:val="00C05DF6"/>
    <w:rsid w:val="00C060AE"/>
    <w:rsid w:val="00C061DA"/>
    <w:rsid w:val="00C062AC"/>
    <w:rsid w:val="00C064F0"/>
    <w:rsid w:val="00C0673A"/>
    <w:rsid w:val="00C06906"/>
    <w:rsid w:val="00C0699C"/>
    <w:rsid w:val="00C06D52"/>
    <w:rsid w:val="00C06E3C"/>
    <w:rsid w:val="00C07AB4"/>
    <w:rsid w:val="00C07B92"/>
    <w:rsid w:val="00C07B93"/>
    <w:rsid w:val="00C07D22"/>
    <w:rsid w:val="00C07D89"/>
    <w:rsid w:val="00C07E4A"/>
    <w:rsid w:val="00C100D3"/>
    <w:rsid w:val="00C10166"/>
    <w:rsid w:val="00C101A6"/>
    <w:rsid w:val="00C1050E"/>
    <w:rsid w:val="00C108E8"/>
    <w:rsid w:val="00C10B46"/>
    <w:rsid w:val="00C10EBB"/>
    <w:rsid w:val="00C10EFF"/>
    <w:rsid w:val="00C11040"/>
    <w:rsid w:val="00C116BA"/>
    <w:rsid w:val="00C11722"/>
    <w:rsid w:val="00C11772"/>
    <w:rsid w:val="00C117FB"/>
    <w:rsid w:val="00C11840"/>
    <w:rsid w:val="00C1195F"/>
    <w:rsid w:val="00C120B8"/>
    <w:rsid w:val="00C12144"/>
    <w:rsid w:val="00C12400"/>
    <w:rsid w:val="00C125C8"/>
    <w:rsid w:val="00C125FA"/>
    <w:rsid w:val="00C1282B"/>
    <w:rsid w:val="00C12858"/>
    <w:rsid w:val="00C12902"/>
    <w:rsid w:val="00C1293B"/>
    <w:rsid w:val="00C12AEA"/>
    <w:rsid w:val="00C12B8B"/>
    <w:rsid w:val="00C13409"/>
    <w:rsid w:val="00C1394D"/>
    <w:rsid w:val="00C13E4F"/>
    <w:rsid w:val="00C14293"/>
    <w:rsid w:val="00C142C0"/>
    <w:rsid w:val="00C14382"/>
    <w:rsid w:val="00C1456A"/>
    <w:rsid w:val="00C1488C"/>
    <w:rsid w:val="00C148D3"/>
    <w:rsid w:val="00C14BC9"/>
    <w:rsid w:val="00C14D8D"/>
    <w:rsid w:val="00C14E47"/>
    <w:rsid w:val="00C15046"/>
    <w:rsid w:val="00C15057"/>
    <w:rsid w:val="00C1519A"/>
    <w:rsid w:val="00C1524A"/>
    <w:rsid w:val="00C1547F"/>
    <w:rsid w:val="00C15524"/>
    <w:rsid w:val="00C15887"/>
    <w:rsid w:val="00C158A9"/>
    <w:rsid w:val="00C159D6"/>
    <w:rsid w:val="00C15A53"/>
    <w:rsid w:val="00C15D41"/>
    <w:rsid w:val="00C16174"/>
    <w:rsid w:val="00C16495"/>
    <w:rsid w:val="00C16501"/>
    <w:rsid w:val="00C1656C"/>
    <w:rsid w:val="00C16588"/>
    <w:rsid w:val="00C1681C"/>
    <w:rsid w:val="00C16A0C"/>
    <w:rsid w:val="00C16C03"/>
    <w:rsid w:val="00C16EB0"/>
    <w:rsid w:val="00C16EB6"/>
    <w:rsid w:val="00C17029"/>
    <w:rsid w:val="00C170BA"/>
    <w:rsid w:val="00C17356"/>
    <w:rsid w:val="00C17814"/>
    <w:rsid w:val="00C17FD8"/>
    <w:rsid w:val="00C20149"/>
    <w:rsid w:val="00C20347"/>
    <w:rsid w:val="00C205D0"/>
    <w:rsid w:val="00C20DF3"/>
    <w:rsid w:val="00C211C6"/>
    <w:rsid w:val="00C211D0"/>
    <w:rsid w:val="00C215B6"/>
    <w:rsid w:val="00C218C6"/>
    <w:rsid w:val="00C218CB"/>
    <w:rsid w:val="00C21948"/>
    <w:rsid w:val="00C21B61"/>
    <w:rsid w:val="00C22391"/>
    <w:rsid w:val="00C2242D"/>
    <w:rsid w:val="00C2243D"/>
    <w:rsid w:val="00C22AC4"/>
    <w:rsid w:val="00C22C66"/>
    <w:rsid w:val="00C22CC0"/>
    <w:rsid w:val="00C22D60"/>
    <w:rsid w:val="00C22F8B"/>
    <w:rsid w:val="00C22FD5"/>
    <w:rsid w:val="00C2345B"/>
    <w:rsid w:val="00C23725"/>
    <w:rsid w:val="00C23CCB"/>
    <w:rsid w:val="00C23DC3"/>
    <w:rsid w:val="00C24CD9"/>
    <w:rsid w:val="00C24FB3"/>
    <w:rsid w:val="00C2508B"/>
    <w:rsid w:val="00C25890"/>
    <w:rsid w:val="00C258E8"/>
    <w:rsid w:val="00C2594D"/>
    <w:rsid w:val="00C25D31"/>
    <w:rsid w:val="00C26233"/>
    <w:rsid w:val="00C26397"/>
    <w:rsid w:val="00C26468"/>
    <w:rsid w:val="00C265C9"/>
    <w:rsid w:val="00C26746"/>
    <w:rsid w:val="00C26857"/>
    <w:rsid w:val="00C26BB5"/>
    <w:rsid w:val="00C2706F"/>
    <w:rsid w:val="00C2752F"/>
    <w:rsid w:val="00C27783"/>
    <w:rsid w:val="00C27B28"/>
    <w:rsid w:val="00C30564"/>
    <w:rsid w:val="00C3094D"/>
    <w:rsid w:val="00C3097B"/>
    <w:rsid w:val="00C30E25"/>
    <w:rsid w:val="00C30EDC"/>
    <w:rsid w:val="00C30F55"/>
    <w:rsid w:val="00C31317"/>
    <w:rsid w:val="00C313B3"/>
    <w:rsid w:val="00C319F3"/>
    <w:rsid w:val="00C31AF7"/>
    <w:rsid w:val="00C31BA5"/>
    <w:rsid w:val="00C31BB6"/>
    <w:rsid w:val="00C3236B"/>
    <w:rsid w:val="00C32895"/>
    <w:rsid w:val="00C3290E"/>
    <w:rsid w:val="00C32949"/>
    <w:rsid w:val="00C32ECA"/>
    <w:rsid w:val="00C32FE3"/>
    <w:rsid w:val="00C3335F"/>
    <w:rsid w:val="00C333D1"/>
    <w:rsid w:val="00C33C6C"/>
    <w:rsid w:val="00C33DA6"/>
    <w:rsid w:val="00C33E0C"/>
    <w:rsid w:val="00C34566"/>
    <w:rsid w:val="00C346B2"/>
    <w:rsid w:val="00C34A36"/>
    <w:rsid w:val="00C34B2A"/>
    <w:rsid w:val="00C34E27"/>
    <w:rsid w:val="00C34E9A"/>
    <w:rsid w:val="00C34F82"/>
    <w:rsid w:val="00C35528"/>
    <w:rsid w:val="00C3556D"/>
    <w:rsid w:val="00C3584C"/>
    <w:rsid w:val="00C35B30"/>
    <w:rsid w:val="00C35E47"/>
    <w:rsid w:val="00C35E5B"/>
    <w:rsid w:val="00C35E5C"/>
    <w:rsid w:val="00C35E80"/>
    <w:rsid w:val="00C3611A"/>
    <w:rsid w:val="00C36D88"/>
    <w:rsid w:val="00C36F6D"/>
    <w:rsid w:val="00C3745D"/>
    <w:rsid w:val="00C375F5"/>
    <w:rsid w:val="00C37627"/>
    <w:rsid w:val="00C37933"/>
    <w:rsid w:val="00C37E3E"/>
    <w:rsid w:val="00C4019A"/>
    <w:rsid w:val="00C404F4"/>
    <w:rsid w:val="00C40552"/>
    <w:rsid w:val="00C407F4"/>
    <w:rsid w:val="00C40A28"/>
    <w:rsid w:val="00C40C1C"/>
    <w:rsid w:val="00C40D66"/>
    <w:rsid w:val="00C40EFD"/>
    <w:rsid w:val="00C41037"/>
    <w:rsid w:val="00C4141F"/>
    <w:rsid w:val="00C414DD"/>
    <w:rsid w:val="00C417EF"/>
    <w:rsid w:val="00C41864"/>
    <w:rsid w:val="00C41885"/>
    <w:rsid w:val="00C41CA4"/>
    <w:rsid w:val="00C41D8C"/>
    <w:rsid w:val="00C41DFC"/>
    <w:rsid w:val="00C422AA"/>
    <w:rsid w:val="00C42316"/>
    <w:rsid w:val="00C42324"/>
    <w:rsid w:val="00C425EC"/>
    <w:rsid w:val="00C4277E"/>
    <w:rsid w:val="00C42967"/>
    <w:rsid w:val="00C42AA7"/>
    <w:rsid w:val="00C42EC7"/>
    <w:rsid w:val="00C43663"/>
    <w:rsid w:val="00C43790"/>
    <w:rsid w:val="00C43DB2"/>
    <w:rsid w:val="00C43EEB"/>
    <w:rsid w:val="00C441B7"/>
    <w:rsid w:val="00C444B6"/>
    <w:rsid w:val="00C44CA5"/>
    <w:rsid w:val="00C44FC8"/>
    <w:rsid w:val="00C451F8"/>
    <w:rsid w:val="00C4588B"/>
    <w:rsid w:val="00C45B6F"/>
    <w:rsid w:val="00C45D90"/>
    <w:rsid w:val="00C46241"/>
    <w:rsid w:val="00C467B6"/>
    <w:rsid w:val="00C47B70"/>
    <w:rsid w:val="00C47BE4"/>
    <w:rsid w:val="00C502C2"/>
    <w:rsid w:val="00C50840"/>
    <w:rsid w:val="00C50AAD"/>
    <w:rsid w:val="00C51021"/>
    <w:rsid w:val="00C513F1"/>
    <w:rsid w:val="00C514E5"/>
    <w:rsid w:val="00C5167D"/>
    <w:rsid w:val="00C51A61"/>
    <w:rsid w:val="00C51A89"/>
    <w:rsid w:val="00C51DD2"/>
    <w:rsid w:val="00C51F0C"/>
    <w:rsid w:val="00C52151"/>
    <w:rsid w:val="00C52196"/>
    <w:rsid w:val="00C5248D"/>
    <w:rsid w:val="00C524CF"/>
    <w:rsid w:val="00C52768"/>
    <w:rsid w:val="00C528DC"/>
    <w:rsid w:val="00C52C60"/>
    <w:rsid w:val="00C52CFD"/>
    <w:rsid w:val="00C53489"/>
    <w:rsid w:val="00C53815"/>
    <w:rsid w:val="00C53B3C"/>
    <w:rsid w:val="00C53C3B"/>
    <w:rsid w:val="00C54022"/>
    <w:rsid w:val="00C5409C"/>
    <w:rsid w:val="00C54137"/>
    <w:rsid w:val="00C544F0"/>
    <w:rsid w:val="00C54954"/>
    <w:rsid w:val="00C5520B"/>
    <w:rsid w:val="00C557D3"/>
    <w:rsid w:val="00C55B7B"/>
    <w:rsid w:val="00C55BBE"/>
    <w:rsid w:val="00C55E7A"/>
    <w:rsid w:val="00C560A3"/>
    <w:rsid w:val="00C56CDC"/>
    <w:rsid w:val="00C56D85"/>
    <w:rsid w:val="00C57070"/>
    <w:rsid w:val="00C57154"/>
    <w:rsid w:val="00C571DB"/>
    <w:rsid w:val="00C571F8"/>
    <w:rsid w:val="00C573E8"/>
    <w:rsid w:val="00C5746E"/>
    <w:rsid w:val="00C57674"/>
    <w:rsid w:val="00C576A9"/>
    <w:rsid w:val="00C57C7C"/>
    <w:rsid w:val="00C57D9D"/>
    <w:rsid w:val="00C57FF1"/>
    <w:rsid w:val="00C6015A"/>
    <w:rsid w:val="00C6026B"/>
    <w:rsid w:val="00C60279"/>
    <w:rsid w:val="00C60442"/>
    <w:rsid w:val="00C60594"/>
    <w:rsid w:val="00C6085F"/>
    <w:rsid w:val="00C60871"/>
    <w:rsid w:val="00C60B5C"/>
    <w:rsid w:val="00C60CA0"/>
    <w:rsid w:val="00C60E99"/>
    <w:rsid w:val="00C6100F"/>
    <w:rsid w:val="00C613E7"/>
    <w:rsid w:val="00C61412"/>
    <w:rsid w:val="00C61505"/>
    <w:rsid w:val="00C61629"/>
    <w:rsid w:val="00C61794"/>
    <w:rsid w:val="00C617F3"/>
    <w:rsid w:val="00C61944"/>
    <w:rsid w:val="00C619D1"/>
    <w:rsid w:val="00C62319"/>
    <w:rsid w:val="00C623CB"/>
    <w:rsid w:val="00C6273A"/>
    <w:rsid w:val="00C629B4"/>
    <w:rsid w:val="00C62CEE"/>
    <w:rsid w:val="00C62E6E"/>
    <w:rsid w:val="00C62E92"/>
    <w:rsid w:val="00C635E8"/>
    <w:rsid w:val="00C63C2A"/>
    <w:rsid w:val="00C63EB8"/>
    <w:rsid w:val="00C64042"/>
    <w:rsid w:val="00C640C9"/>
    <w:rsid w:val="00C646FB"/>
    <w:rsid w:val="00C64C03"/>
    <w:rsid w:val="00C651D3"/>
    <w:rsid w:val="00C65A3E"/>
    <w:rsid w:val="00C65D69"/>
    <w:rsid w:val="00C65EBE"/>
    <w:rsid w:val="00C65FC0"/>
    <w:rsid w:val="00C65FF5"/>
    <w:rsid w:val="00C667EC"/>
    <w:rsid w:val="00C67484"/>
    <w:rsid w:val="00C700B0"/>
    <w:rsid w:val="00C7060F"/>
    <w:rsid w:val="00C708F9"/>
    <w:rsid w:val="00C70DB9"/>
    <w:rsid w:val="00C71563"/>
    <w:rsid w:val="00C716FE"/>
    <w:rsid w:val="00C71AB2"/>
    <w:rsid w:val="00C71C54"/>
    <w:rsid w:val="00C71C55"/>
    <w:rsid w:val="00C71C87"/>
    <w:rsid w:val="00C71D15"/>
    <w:rsid w:val="00C7258F"/>
    <w:rsid w:val="00C72C7D"/>
    <w:rsid w:val="00C72E14"/>
    <w:rsid w:val="00C73286"/>
    <w:rsid w:val="00C7335F"/>
    <w:rsid w:val="00C7379A"/>
    <w:rsid w:val="00C73DDC"/>
    <w:rsid w:val="00C73EB5"/>
    <w:rsid w:val="00C7410E"/>
    <w:rsid w:val="00C7421B"/>
    <w:rsid w:val="00C7429B"/>
    <w:rsid w:val="00C746AD"/>
    <w:rsid w:val="00C74A9F"/>
    <w:rsid w:val="00C74D4F"/>
    <w:rsid w:val="00C75211"/>
    <w:rsid w:val="00C754B5"/>
    <w:rsid w:val="00C75710"/>
    <w:rsid w:val="00C7579C"/>
    <w:rsid w:val="00C76443"/>
    <w:rsid w:val="00C764CE"/>
    <w:rsid w:val="00C766A9"/>
    <w:rsid w:val="00C76B5C"/>
    <w:rsid w:val="00C76C46"/>
    <w:rsid w:val="00C76E70"/>
    <w:rsid w:val="00C772DA"/>
    <w:rsid w:val="00C7742B"/>
    <w:rsid w:val="00C776CD"/>
    <w:rsid w:val="00C77D81"/>
    <w:rsid w:val="00C800A2"/>
    <w:rsid w:val="00C80206"/>
    <w:rsid w:val="00C802C8"/>
    <w:rsid w:val="00C80542"/>
    <w:rsid w:val="00C8077C"/>
    <w:rsid w:val="00C8122D"/>
    <w:rsid w:val="00C812FE"/>
    <w:rsid w:val="00C81335"/>
    <w:rsid w:val="00C81646"/>
    <w:rsid w:val="00C8174D"/>
    <w:rsid w:val="00C819A0"/>
    <w:rsid w:val="00C81BDA"/>
    <w:rsid w:val="00C81EE1"/>
    <w:rsid w:val="00C82147"/>
    <w:rsid w:val="00C821E7"/>
    <w:rsid w:val="00C82329"/>
    <w:rsid w:val="00C82634"/>
    <w:rsid w:val="00C82637"/>
    <w:rsid w:val="00C82643"/>
    <w:rsid w:val="00C82659"/>
    <w:rsid w:val="00C82661"/>
    <w:rsid w:val="00C82674"/>
    <w:rsid w:val="00C82C2F"/>
    <w:rsid w:val="00C82E7C"/>
    <w:rsid w:val="00C83070"/>
    <w:rsid w:val="00C831AE"/>
    <w:rsid w:val="00C83699"/>
    <w:rsid w:val="00C83912"/>
    <w:rsid w:val="00C839B2"/>
    <w:rsid w:val="00C83AE3"/>
    <w:rsid w:val="00C842B8"/>
    <w:rsid w:val="00C84834"/>
    <w:rsid w:val="00C84B51"/>
    <w:rsid w:val="00C8539D"/>
    <w:rsid w:val="00C853BE"/>
    <w:rsid w:val="00C8554C"/>
    <w:rsid w:val="00C85D0F"/>
    <w:rsid w:val="00C86168"/>
    <w:rsid w:val="00C8622C"/>
    <w:rsid w:val="00C86576"/>
    <w:rsid w:val="00C86A00"/>
    <w:rsid w:val="00C86AEB"/>
    <w:rsid w:val="00C86B01"/>
    <w:rsid w:val="00C86C09"/>
    <w:rsid w:val="00C86D0C"/>
    <w:rsid w:val="00C86DF9"/>
    <w:rsid w:val="00C8714A"/>
    <w:rsid w:val="00C873F3"/>
    <w:rsid w:val="00C87964"/>
    <w:rsid w:val="00C87B93"/>
    <w:rsid w:val="00C87C99"/>
    <w:rsid w:val="00C87D04"/>
    <w:rsid w:val="00C87F62"/>
    <w:rsid w:val="00C87F93"/>
    <w:rsid w:val="00C90045"/>
    <w:rsid w:val="00C90154"/>
    <w:rsid w:val="00C903B4"/>
    <w:rsid w:val="00C9070D"/>
    <w:rsid w:val="00C90769"/>
    <w:rsid w:val="00C90782"/>
    <w:rsid w:val="00C90895"/>
    <w:rsid w:val="00C908FD"/>
    <w:rsid w:val="00C90DAA"/>
    <w:rsid w:val="00C91185"/>
    <w:rsid w:val="00C9119E"/>
    <w:rsid w:val="00C91284"/>
    <w:rsid w:val="00C9162F"/>
    <w:rsid w:val="00C9197C"/>
    <w:rsid w:val="00C91A51"/>
    <w:rsid w:val="00C91F13"/>
    <w:rsid w:val="00C921B8"/>
    <w:rsid w:val="00C9255A"/>
    <w:rsid w:val="00C9275F"/>
    <w:rsid w:val="00C92DBC"/>
    <w:rsid w:val="00C931D6"/>
    <w:rsid w:val="00C9389E"/>
    <w:rsid w:val="00C93A19"/>
    <w:rsid w:val="00C93A53"/>
    <w:rsid w:val="00C9427D"/>
    <w:rsid w:val="00C950DE"/>
    <w:rsid w:val="00C951A4"/>
    <w:rsid w:val="00C951E0"/>
    <w:rsid w:val="00C95A28"/>
    <w:rsid w:val="00C95EB7"/>
    <w:rsid w:val="00C960D7"/>
    <w:rsid w:val="00C96154"/>
    <w:rsid w:val="00C962FB"/>
    <w:rsid w:val="00C96A4B"/>
    <w:rsid w:val="00C96AEA"/>
    <w:rsid w:val="00C97596"/>
    <w:rsid w:val="00C976DB"/>
    <w:rsid w:val="00C9776A"/>
    <w:rsid w:val="00C97D03"/>
    <w:rsid w:val="00CA01E1"/>
    <w:rsid w:val="00CA0298"/>
    <w:rsid w:val="00CA0349"/>
    <w:rsid w:val="00CA0501"/>
    <w:rsid w:val="00CA0680"/>
    <w:rsid w:val="00CA06C7"/>
    <w:rsid w:val="00CA094A"/>
    <w:rsid w:val="00CA0E2C"/>
    <w:rsid w:val="00CA0ED8"/>
    <w:rsid w:val="00CA11ED"/>
    <w:rsid w:val="00CA1628"/>
    <w:rsid w:val="00CA1778"/>
    <w:rsid w:val="00CA1797"/>
    <w:rsid w:val="00CA180A"/>
    <w:rsid w:val="00CA1990"/>
    <w:rsid w:val="00CA202B"/>
    <w:rsid w:val="00CA2083"/>
    <w:rsid w:val="00CA23D5"/>
    <w:rsid w:val="00CA28C0"/>
    <w:rsid w:val="00CA2B7B"/>
    <w:rsid w:val="00CA349A"/>
    <w:rsid w:val="00CA3B0F"/>
    <w:rsid w:val="00CA3C54"/>
    <w:rsid w:val="00CA3D5F"/>
    <w:rsid w:val="00CA4142"/>
    <w:rsid w:val="00CA41DC"/>
    <w:rsid w:val="00CA4219"/>
    <w:rsid w:val="00CA4399"/>
    <w:rsid w:val="00CA4447"/>
    <w:rsid w:val="00CA459E"/>
    <w:rsid w:val="00CA46C6"/>
    <w:rsid w:val="00CA4E10"/>
    <w:rsid w:val="00CA4EE2"/>
    <w:rsid w:val="00CA4FF2"/>
    <w:rsid w:val="00CA57DF"/>
    <w:rsid w:val="00CA59E6"/>
    <w:rsid w:val="00CA5A6F"/>
    <w:rsid w:val="00CA5B4B"/>
    <w:rsid w:val="00CA6804"/>
    <w:rsid w:val="00CA6B58"/>
    <w:rsid w:val="00CA6C5D"/>
    <w:rsid w:val="00CA74E4"/>
    <w:rsid w:val="00CA7605"/>
    <w:rsid w:val="00CA7DBF"/>
    <w:rsid w:val="00CA7E37"/>
    <w:rsid w:val="00CA7E75"/>
    <w:rsid w:val="00CB0067"/>
    <w:rsid w:val="00CB0769"/>
    <w:rsid w:val="00CB08D6"/>
    <w:rsid w:val="00CB0E55"/>
    <w:rsid w:val="00CB1463"/>
    <w:rsid w:val="00CB1791"/>
    <w:rsid w:val="00CB19F1"/>
    <w:rsid w:val="00CB1B42"/>
    <w:rsid w:val="00CB1B9C"/>
    <w:rsid w:val="00CB2283"/>
    <w:rsid w:val="00CB29EA"/>
    <w:rsid w:val="00CB3037"/>
    <w:rsid w:val="00CB3869"/>
    <w:rsid w:val="00CB38D9"/>
    <w:rsid w:val="00CB3BF3"/>
    <w:rsid w:val="00CB3EAF"/>
    <w:rsid w:val="00CB3F79"/>
    <w:rsid w:val="00CB405E"/>
    <w:rsid w:val="00CB4068"/>
    <w:rsid w:val="00CB429A"/>
    <w:rsid w:val="00CB42DE"/>
    <w:rsid w:val="00CB43EA"/>
    <w:rsid w:val="00CB4B1C"/>
    <w:rsid w:val="00CB4B98"/>
    <w:rsid w:val="00CB4DE9"/>
    <w:rsid w:val="00CB5267"/>
    <w:rsid w:val="00CB582D"/>
    <w:rsid w:val="00CB58B7"/>
    <w:rsid w:val="00CB59E6"/>
    <w:rsid w:val="00CB600D"/>
    <w:rsid w:val="00CB60B5"/>
    <w:rsid w:val="00CB60E1"/>
    <w:rsid w:val="00CB654B"/>
    <w:rsid w:val="00CB6567"/>
    <w:rsid w:val="00CB6709"/>
    <w:rsid w:val="00CB6A24"/>
    <w:rsid w:val="00CB6A58"/>
    <w:rsid w:val="00CB75AA"/>
    <w:rsid w:val="00CB79CE"/>
    <w:rsid w:val="00CC02B0"/>
    <w:rsid w:val="00CC04CB"/>
    <w:rsid w:val="00CC05C6"/>
    <w:rsid w:val="00CC08B1"/>
    <w:rsid w:val="00CC0BBF"/>
    <w:rsid w:val="00CC0C84"/>
    <w:rsid w:val="00CC0DAC"/>
    <w:rsid w:val="00CC0F14"/>
    <w:rsid w:val="00CC1142"/>
    <w:rsid w:val="00CC1614"/>
    <w:rsid w:val="00CC16FC"/>
    <w:rsid w:val="00CC17B0"/>
    <w:rsid w:val="00CC1EE1"/>
    <w:rsid w:val="00CC21B8"/>
    <w:rsid w:val="00CC21FE"/>
    <w:rsid w:val="00CC24C4"/>
    <w:rsid w:val="00CC27FD"/>
    <w:rsid w:val="00CC282D"/>
    <w:rsid w:val="00CC29EC"/>
    <w:rsid w:val="00CC2FA1"/>
    <w:rsid w:val="00CC3193"/>
    <w:rsid w:val="00CC338B"/>
    <w:rsid w:val="00CC359C"/>
    <w:rsid w:val="00CC36C6"/>
    <w:rsid w:val="00CC3E8F"/>
    <w:rsid w:val="00CC401A"/>
    <w:rsid w:val="00CC430B"/>
    <w:rsid w:val="00CC43E9"/>
    <w:rsid w:val="00CC49D5"/>
    <w:rsid w:val="00CC4C47"/>
    <w:rsid w:val="00CC4D68"/>
    <w:rsid w:val="00CC50FC"/>
    <w:rsid w:val="00CC5B38"/>
    <w:rsid w:val="00CC5B3C"/>
    <w:rsid w:val="00CC5BD8"/>
    <w:rsid w:val="00CC5D2D"/>
    <w:rsid w:val="00CC5F14"/>
    <w:rsid w:val="00CC6266"/>
    <w:rsid w:val="00CC641E"/>
    <w:rsid w:val="00CC6689"/>
    <w:rsid w:val="00CC66C5"/>
    <w:rsid w:val="00CC6E2F"/>
    <w:rsid w:val="00CC6E59"/>
    <w:rsid w:val="00CC7A2E"/>
    <w:rsid w:val="00CC7CA7"/>
    <w:rsid w:val="00CC7E05"/>
    <w:rsid w:val="00CD08CF"/>
    <w:rsid w:val="00CD09CC"/>
    <w:rsid w:val="00CD0CA0"/>
    <w:rsid w:val="00CD0DFC"/>
    <w:rsid w:val="00CD14DE"/>
    <w:rsid w:val="00CD2181"/>
    <w:rsid w:val="00CD22CB"/>
    <w:rsid w:val="00CD2487"/>
    <w:rsid w:val="00CD2C9B"/>
    <w:rsid w:val="00CD2D84"/>
    <w:rsid w:val="00CD35A2"/>
    <w:rsid w:val="00CD35AA"/>
    <w:rsid w:val="00CD35F8"/>
    <w:rsid w:val="00CD381F"/>
    <w:rsid w:val="00CD3894"/>
    <w:rsid w:val="00CD3926"/>
    <w:rsid w:val="00CD3A17"/>
    <w:rsid w:val="00CD3A54"/>
    <w:rsid w:val="00CD3AA6"/>
    <w:rsid w:val="00CD3CE6"/>
    <w:rsid w:val="00CD3D83"/>
    <w:rsid w:val="00CD3DF3"/>
    <w:rsid w:val="00CD3E01"/>
    <w:rsid w:val="00CD3FB7"/>
    <w:rsid w:val="00CD3FB9"/>
    <w:rsid w:val="00CD4071"/>
    <w:rsid w:val="00CD43AA"/>
    <w:rsid w:val="00CD443B"/>
    <w:rsid w:val="00CD4D90"/>
    <w:rsid w:val="00CD4EF3"/>
    <w:rsid w:val="00CD5093"/>
    <w:rsid w:val="00CD587B"/>
    <w:rsid w:val="00CD5AB3"/>
    <w:rsid w:val="00CD5AC4"/>
    <w:rsid w:val="00CD5AD4"/>
    <w:rsid w:val="00CD606E"/>
    <w:rsid w:val="00CD6390"/>
    <w:rsid w:val="00CD661B"/>
    <w:rsid w:val="00CD6638"/>
    <w:rsid w:val="00CD6ADA"/>
    <w:rsid w:val="00CD6CEB"/>
    <w:rsid w:val="00CD6E6C"/>
    <w:rsid w:val="00CD6FD6"/>
    <w:rsid w:val="00CD751E"/>
    <w:rsid w:val="00CD7860"/>
    <w:rsid w:val="00CD7C7A"/>
    <w:rsid w:val="00CE00B7"/>
    <w:rsid w:val="00CE01DF"/>
    <w:rsid w:val="00CE026A"/>
    <w:rsid w:val="00CE0507"/>
    <w:rsid w:val="00CE08FE"/>
    <w:rsid w:val="00CE1321"/>
    <w:rsid w:val="00CE15DD"/>
    <w:rsid w:val="00CE15EF"/>
    <w:rsid w:val="00CE16B1"/>
    <w:rsid w:val="00CE1BFD"/>
    <w:rsid w:val="00CE1D28"/>
    <w:rsid w:val="00CE1E75"/>
    <w:rsid w:val="00CE1EAD"/>
    <w:rsid w:val="00CE2381"/>
    <w:rsid w:val="00CE2779"/>
    <w:rsid w:val="00CE2B0B"/>
    <w:rsid w:val="00CE2B8D"/>
    <w:rsid w:val="00CE2ED7"/>
    <w:rsid w:val="00CE33E6"/>
    <w:rsid w:val="00CE38A4"/>
    <w:rsid w:val="00CE3959"/>
    <w:rsid w:val="00CE3E14"/>
    <w:rsid w:val="00CE3F00"/>
    <w:rsid w:val="00CE4102"/>
    <w:rsid w:val="00CE414C"/>
    <w:rsid w:val="00CE45CC"/>
    <w:rsid w:val="00CE49E5"/>
    <w:rsid w:val="00CE4C86"/>
    <w:rsid w:val="00CE4D93"/>
    <w:rsid w:val="00CE4D9B"/>
    <w:rsid w:val="00CE4F2D"/>
    <w:rsid w:val="00CE5081"/>
    <w:rsid w:val="00CE540A"/>
    <w:rsid w:val="00CE59B4"/>
    <w:rsid w:val="00CE5A03"/>
    <w:rsid w:val="00CE5AE7"/>
    <w:rsid w:val="00CE6070"/>
    <w:rsid w:val="00CE6098"/>
    <w:rsid w:val="00CE61F4"/>
    <w:rsid w:val="00CE692A"/>
    <w:rsid w:val="00CE761D"/>
    <w:rsid w:val="00CE7798"/>
    <w:rsid w:val="00CE781A"/>
    <w:rsid w:val="00CE78D0"/>
    <w:rsid w:val="00CE7A78"/>
    <w:rsid w:val="00CE7E7F"/>
    <w:rsid w:val="00CF0281"/>
    <w:rsid w:val="00CF04D4"/>
    <w:rsid w:val="00CF061B"/>
    <w:rsid w:val="00CF0737"/>
    <w:rsid w:val="00CF0ADD"/>
    <w:rsid w:val="00CF0C5E"/>
    <w:rsid w:val="00CF0C82"/>
    <w:rsid w:val="00CF12C1"/>
    <w:rsid w:val="00CF1518"/>
    <w:rsid w:val="00CF16F2"/>
    <w:rsid w:val="00CF1F59"/>
    <w:rsid w:val="00CF21E6"/>
    <w:rsid w:val="00CF2839"/>
    <w:rsid w:val="00CF2971"/>
    <w:rsid w:val="00CF2B97"/>
    <w:rsid w:val="00CF2BDD"/>
    <w:rsid w:val="00CF2D1B"/>
    <w:rsid w:val="00CF3203"/>
    <w:rsid w:val="00CF322F"/>
    <w:rsid w:val="00CF3265"/>
    <w:rsid w:val="00CF3816"/>
    <w:rsid w:val="00CF381B"/>
    <w:rsid w:val="00CF3A12"/>
    <w:rsid w:val="00CF42DC"/>
    <w:rsid w:val="00CF4380"/>
    <w:rsid w:val="00CF4648"/>
    <w:rsid w:val="00CF4B46"/>
    <w:rsid w:val="00CF506E"/>
    <w:rsid w:val="00CF510D"/>
    <w:rsid w:val="00CF5499"/>
    <w:rsid w:val="00CF5754"/>
    <w:rsid w:val="00CF57FA"/>
    <w:rsid w:val="00CF5852"/>
    <w:rsid w:val="00CF5BA4"/>
    <w:rsid w:val="00CF5DC5"/>
    <w:rsid w:val="00CF5E5B"/>
    <w:rsid w:val="00CF5F25"/>
    <w:rsid w:val="00CF61BF"/>
    <w:rsid w:val="00CF6891"/>
    <w:rsid w:val="00CF693D"/>
    <w:rsid w:val="00CF6ACB"/>
    <w:rsid w:val="00CF6CA4"/>
    <w:rsid w:val="00CF6FA5"/>
    <w:rsid w:val="00CF7742"/>
    <w:rsid w:val="00CF7B79"/>
    <w:rsid w:val="00CF7BF3"/>
    <w:rsid w:val="00CF7C2C"/>
    <w:rsid w:val="00D00529"/>
    <w:rsid w:val="00D007B9"/>
    <w:rsid w:val="00D00966"/>
    <w:rsid w:val="00D00C10"/>
    <w:rsid w:val="00D00DDA"/>
    <w:rsid w:val="00D00E56"/>
    <w:rsid w:val="00D011F8"/>
    <w:rsid w:val="00D0127F"/>
    <w:rsid w:val="00D0141F"/>
    <w:rsid w:val="00D015AC"/>
    <w:rsid w:val="00D018D2"/>
    <w:rsid w:val="00D01B31"/>
    <w:rsid w:val="00D01E07"/>
    <w:rsid w:val="00D01F65"/>
    <w:rsid w:val="00D02108"/>
    <w:rsid w:val="00D02160"/>
    <w:rsid w:val="00D0234D"/>
    <w:rsid w:val="00D0239F"/>
    <w:rsid w:val="00D0282D"/>
    <w:rsid w:val="00D02977"/>
    <w:rsid w:val="00D02ACC"/>
    <w:rsid w:val="00D02B59"/>
    <w:rsid w:val="00D02BF5"/>
    <w:rsid w:val="00D02CBE"/>
    <w:rsid w:val="00D02D33"/>
    <w:rsid w:val="00D02F30"/>
    <w:rsid w:val="00D0333F"/>
    <w:rsid w:val="00D037C4"/>
    <w:rsid w:val="00D03822"/>
    <w:rsid w:val="00D03A2E"/>
    <w:rsid w:val="00D03AF4"/>
    <w:rsid w:val="00D03BDE"/>
    <w:rsid w:val="00D0424C"/>
    <w:rsid w:val="00D047ED"/>
    <w:rsid w:val="00D047FE"/>
    <w:rsid w:val="00D04ED0"/>
    <w:rsid w:val="00D050BE"/>
    <w:rsid w:val="00D0532E"/>
    <w:rsid w:val="00D054B7"/>
    <w:rsid w:val="00D05AD3"/>
    <w:rsid w:val="00D05CC5"/>
    <w:rsid w:val="00D05F50"/>
    <w:rsid w:val="00D063AF"/>
    <w:rsid w:val="00D0693D"/>
    <w:rsid w:val="00D06B75"/>
    <w:rsid w:val="00D06FDC"/>
    <w:rsid w:val="00D0726E"/>
    <w:rsid w:val="00D074E3"/>
    <w:rsid w:val="00D07806"/>
    <w:rsid w:val="00D07996"/>
    <w:rsid w:val="00D10313"/>
    <w:rsid w:val="00D10AEE"/>
    <w:rsid w:val="00D10DB0"/>
    <w:rsid w:val="00D10E3C"/>
    <w:rsid w:val="00D10E8D"/>
    <w:rsid w:val="00D11027"/>
    <w:rsid w:val="00D1141B"/>
    <w:rsid w:val="00D11557"/>
    <w:rsid w:val="00D11688"/>
    <w:rsid w:val="00D11968"/>
    <w:rsid w:val="00D11CC0"/>
    <w:rsid w:val="00D120FA"/>
    <w:rsid w:val="00D12188"/>
    <w:rsid w:val="00D121B8"/>
    <w:rsid w:val="00D12518"/>
    <w:rsid w:val="00D12728"/>
    <w:rsid w:val="00D1286C"/>
    <w:rsid w:val="00D12C6A"/>
    <w:rsid w:val="00D12D91"/>
    <w:rsid w:val="00D12DB2"/>
    <w:rsid w:val="00D12E51"/>
    <w:rsid w:val="00D12F7A"/>
    <w:rsid w:val="00D13423"/>
    <w:rsid w:val="00D13530"/>
    <w:rsid w:val="00D13975"/>
    <w:rsid w:val="00D139E3"/>
    <w:rsid w:val="00D13C3F"/>
    <w:rsid w:val="00D140FC"/>
    <w:rsid w:val="00D140FD"/>
    <w:rsid w:val="00D1411C"/>
    <w:rsid w:val="00D1423C"/>
    <w:rsid w:val="00D14279"/>
    <w:rsid w:val="00D1459A"/>
    <w:rsid w:val="00D145C0"/>
    <w:rsid w:val="00D1491E"/>
    <w:rsid w:val="00D14AE5"/>
    <w:rsid w:val="00D14B39"/>
    <w:rsid w:val="00D15324"/>
    <w:rsid w:val="00D15B90"/>
    <w:rsid w:val="00D165C5"/>
    <w:rsid w:val="00D16618"/>
    <w:rsid w:val="00D16633"/>
    <w:rsid w:val="00D1687F"/>
    <w:rsid w:val="00D16943"/>
    <w:rsid w:val="00D169E1"/>
    <w:rsid w:val="00D16A06"/>
    <w:rsid w:val="00D16D05"/>
    <w:rsid w:val="00D16EB7"/>
    <w:rsid w:val="00D170C5"/>
    <w:rsid w:val="00D173E2"/>
    <w:rsid w:val="00D1744E"/>
    <w:rsid w:val="00D17869"/>
    <w:rsid w:val="00D17CBA"/>
    <w:rsid w:val="00D17E5F"/>
    <w:rsid w:val="00D20289"/>
    <w:rsid w:val="00D20B39"/>
    <w:rsid w:val="00D20D8C"/>
    <w:rsid w:val="00D20E41"/>
    <w:rsid w:val="00D20F5D"/>
    <w:rsid w:val="00D21040"/>
    <w:rsid w:val="00D21496"/>
    <w:rsid w:val="00D21A88"/>
    <w:rsid w:val="00D21C27"/>
    <w:rsid w:val="00D21D50"/>
    <w:rsid w:val="00D21E2D"/>
    <w:rsid w:val="00D2281A"/>
    <w:rsid w:val="00D22894"/>
    <w:rsid w:val="00D22A75"/>
    <w:rsid w:val="00D22F53"/>
    <w:rsid w:val="00D2316D"/>
    <w:rsid w:val="00D232E9"/>
    <w:rsid w:val="00D23614"/>
    <w:rsid w:val="00D23B8A"/>
    <w:rsid w:val="00D242A2"/>
    <w:rsid w:val="00D24363"/>
    <w:rsid w:val="00D24C3C"/>
    <w:rsid w:val="00D24DBC"/>
    <w:rsid w:val="00D24ECE"/>
    <w:rsid w:val="00D251C3"/>
    <w:rsid w:val="00D25582"/>
    <w:rsid w:val="00D2562C"/>
    <w:rsid w:val="00D25ADD"/>
    <w:rsid w:val="00D25B9C"/>
    <w:rsid w:val="00D25C2D"/>
    <w:rsid w:val="00D25DB6"/>
    <w:rsid w:val="00D25EC2"/>
    <w:rsid w:val="00D26085"/>
    <w:rsid w:val="00D2611F"/>
    <w:rsid w:val="00D26127"/>
    <w:rsid w:val="00D26387"/>
    <w:rsid w:val="00D26427"/>
    <w:rsid w:val="00D269EB"/>
    <w:rsid w:val="00D26CE7"/>
    <w:rsid w:val="00D26E5B"/>
    <w:rsid w:val="00D26F99"/>
    <w:rsid w:val="00D26FB6"/>
    <w:rsid w:val="00D2720C"/>
    <w:rsid w:val="00D277ED"/>
    <w:rsid w:val="00D27926"/>
    <w:rsid w:val="00D2794C"/>
    <w:rsid w:val="00D279A1"/>
    <w:rsid w:val="00D27C84"/>
    <w:rsid w:val="00D27E66"/>
    <w:rsid w:val="00D30191"/>
    <w:rsid w:val="00D301DB"/>
    <w:rsid w:val="00D30304"/>
    <w:rsid w:val="00D30B0E"/>
    <w:rsid w:val="00D30B40"/>
    <w:rsid w:val="00D30D11"/>
    <w:rsid w:val="00D30EA6"/>
    <w:rsid w:val="00D30F1E"/>
    <w:rsid w:val="00D310B9"/>
    <w:rsid w:val="00D312C5"/>
    <w:rsid w:val="00D31530"/>
    <w:rsid w:val="00D31686"/>
    <w:rsid w:val="00D317DE"/>
    <w:rsid w:val="00D31B05"/>
    <w:rsid w:val="00D31E71"/>
    <w:rsid w:val="00D31F44"/>
    <w:rsid w:val="00D3211A"/>
    <w:rsid w:val="00D3211E"/>
    <w:rsid w:val="00D32378"/>
    <w:rsid w:val="00D32745"/>
    <w:rsid w:val="00D3295C"/>
    <w:rsid w:val="00D33021"/>
    <w:rsid w:val="00D33697"/>
    <w:rsid w:val="00D33E3F"/>
    <w:rsid w:val="00D33EBE"/>
    <w:rsid w:val="00D33F28"/>
    <w:rsid w:val="00D34039"/>
    <w:rsid w:val="00D342E6"/>
    <w:rsid w:val="00D34463"/>
    <w:rsid w:val="00D344B1"/>
    <w:rsid w:val="00D345A7"/>
    <w:rsid w:val="00D34930"/>
    <w:rsid w:val="00D34C79"/>
    <w:rsid w:val="00D353C8"/>
    <w:rsid w:val="00D35582"/>
    <w:rsid w:val="00D3571C"/>
    <w:rsid w:val="00D35787"/>
    <w:rsid w:val="00D3584B"/>
    <w:rsid w:val="00D35AF1"/>
    <w:rsid w:val="00D361E7"/>
    <w:rsid w:val="00D36221"/>
    <w:rsid w:val="00D36322"/>
    <w:rsid w:val="00D366E6"/>
    <w:rsid w:val="00D3678D"/>
    <w:rsid w:val="00D36D24"/>
    <w:rsid w:val="00D36E01"/>
    <w:rsid w:val="00D36E83"/>
    <w:rsid w:val="00D37284"/>
    <w:rsid w:val="00D374E0"/>
    <w:rsid w:val="00D376EC"/>
    <w:rsid w:val="00D40114"/>
    <w:rsid w:val="00D40D2C"/>
    <w:rsid w:val="00D410E8"/>
    <w:rsid w:val="00D41499"/>
    <w:rsid w:val="00D416B9"/>
    <w:rsid w:val="00D41862"/>
    <w:rsid w:val="00D4187E"/>
    <w:rsid w:val="00D41A96"/>
    <w:rsid w:val="00D41B34"/>
    <w:rsid w:val="00D41D39"/>
    <w:rsid w:val="00D41D50"/>
    <w:rsid w:val="00D420C4"/>
    <w:rsid w:val="00D420DD"/>
    <w:rsid w:val="00D422DC"/>
    <w:rsid w:val="00D42FA2"/>
    <w:rsid w:val="00D43057"/>
    <w:rsid w:val="00D430DF"/>
    <w:rsid w:val="00D43A2E"/>
    <w:rsid w:val="00D43D1A"/>
    <w:rsid w:val="00D43F35"/>
    <w:rsid w:val="00D4407D"/>
    <w:rsid w:val="00D45092"/>
    <w:rsid w:val="00D4510D"/>
    <w:rsid w:val="00D45291"/>
    <w:rsid w:val="00D453B4"/>
    <w:rsid w:val="00D460A0"/>
    <w:rsid w:val="00D4648C"/>
    <w:rsid w:val="00D464B6"/>
    <w:rsid w:val="00D464EA"/>
    <w:rsid w:val="00D466BD"/>
    <w:rsid w:val="00D46759"/>
    <w:rsid w:val="00D46964"/>
    <w:rsid w:val="00D46B86"/>
    <w:rsid w:val="00D46F35"/>
    <w:rsid w:val="00D47103"/>
    <w:rsid w:val="00D47180"/>
    <w:rsid w:val="00D47319"/>
    <w:rsid w:val="00D47503"/>
    <w:rsid w:val="00D47774"/>
    <w:rsid w:val="00D477D6"/>
    <w:rsid w:val="00D4790E"/>
    <w:rsid w:val="00D4798E"/>
    <w:rsid w:val="00D479D7"/>
    <w:rsid w:val="00D479E2"/>
    <w:rsid w:val="00D47B09"/>
    <w:rsid w:val="00D47C37"/>
    <w:rsid w:val="00D47E1C"/>
    <w:rsid w:val="00D47F60"/>
    <w:rsid w:val="00D5019C"/>
    <w:rsid w:val="00D50763"/>
    <w:rsid w:val="00D51571"/>
    <w:rsid w:val="00D516DC"/>
    <w:rsid w:val="00D5191F"/>
    <w:rsid w:val="00D51E97"/>
    <w:rsid w:val="00D51FD4"/>
    <w:rsid w:val="00D52090"/>
    <w:rsid w:val="00D521CF"/>
    <w:rsid w:val="00D52224"/>
    <w:rsid w:val="00D525AA"/>
    <w:rsid w:val="00D52954"/>
    <w:rsid w:val="00D52E74"/>
    <w:rsid w:val="00D53102"/>
    <w:rsid w:val="00D531F4"/>
    <w:rsid w:val="00D53221"/>
    <w:rsid w:val="00D535F3"/>
    <w:rsid w:val="00D5365E"/>
    <w:rsid w:val="00D53812"/>
    <w:rsid w:val="00D5395B"/>
    <w:rsid w:val="00D539FF"/>
    <w:rsid w:val="00D53A5E"/>
    <w:rsid w:val="00D54067"/>
    <w:rsid w:val="00D543C9"/>
    <w:rsid w:val="00D54474"/>
    <w:rsid w:val="00D545DF"/>
    <w:rsid w:val="00D54A59"/>
    <w:rsid w:val="00D54AEB"/>
    <w:rsid w:val="00D54E39"/>
    <w:rsid w:val="00D54F90"/>
    <w:rsid w:val="00D5523B"/>
    <w:rsid w:val="00D552B7"/>
    <w:rsid w:val="00D55497"/>
    <w:rsid w:val="00D55995"/>
    <w:rsid w:val="00D55E90"/>
    <w:rsid w:val="00D55F25"/>
    <w:rsid w:val="00D55F62"/>
    <w:rsid w:val="00D56193"/>
    <w:rsid w:val="00D562C3"/>
    <w:rsid w:val="00D56BB1"/>
    <w:rsid w:val="00D56FD9"/>
    <w:rsid w:val="00D570C7"/>
    <w:rsid w:val="00D570D4"/>
    <w:rsid w:val="00D57175"/>
    <w:rsid w:val="00D572DB"/>
    <w:rsid w:val="00D573FE"/>
    <w:rsid w:val="00D5744C"/>
    <w:rsid w:val="00D579E1"/>
    <w:rsid w:val="00D57A01"/>
    <w:rsid w:val="00D57B16"/>
    <w:rsid w:val="00D57CF5"/>
    <w:rsid w:val="00D57D6F"/>
    <w:rsid w:val="00D57E00"/>
    <w:rsid w:val="00D601D7"/>
    <w:rsid w:val="00D60391"/>
    <w:rsid w:val="00D60699"/>
    <w:rsid w:val="00D6079B"/>
    <w:rsid w:val="00D60C50"/>
    <w:rsid w:val="00D60DDB"/>
    <w:rsid w:val="00D612C3"/>
    <w:rsid w:val="00D61448"/>
    <w:rsid w:val="00D61541"/>
    <w:rsid w:val="00D616D5"/>
    <w:rsid w:val="00D617BA"/>
    <w:rsid w:val="00D61D50"/>
    <w:rsid w:val="00D61EF6"/>
    <w:rsid w:val="00D61F87"/>
    <w:rsid w:val="00D61FB7"/>
    <w:rsid w:val="00D62062"/>
    <w:rsid w:val="00D62D56"/>
    <w:rsid w:val="00D62F21"/>
    <w:rsid w:val="00D63344"/>
    <w:rsid w:val="00D634DA"/>
    <w:rsid w:val="00D635AB"/>
    <w:rsid w:val="00D63774"/>
    <w:rsid w:val="00D63867"/>
    <w:rsid w:val="00D63AB3"/>
    <w:rsid w:val="00D64427"/>
    <w:rsid w:val="00D647E3"/>
    <w:rsid w:val="00D647EF"/>
    <w:rsid w:val="00D64B4F"/>
    <w:rsid w:val="00D64BBC"/>
    <w:rsid w:val="00D64CE8"/>
    <w:rsid w:val="00D64E08"/>
    <w:rsid w:val="00D65160"/>
    <w:rsid w:val="00D65B1A"/>
    <w:rsid w:val="00D65B30"/>
    <w:rsid w:val="00D65C34"/>
    <w:rsid w:val="00D65C7F"/>
    <w:rsid w:val="00D66222"/>
    <w:rsid w:val="00D662C7"/>
    <w:rsid w:val="00D665B5"/>
    <w:rsid w:val="00D66615"/>
    <w:rsid w:val="00D668EC"/>
    <w:rsid w:val="00D66922"/>
    <w:rsid w:val="00D66B3B"/>
    <w:rsid w:val="00D66CBE"/>
    <w:rsid w:val="00D66D0F"/>
    <w:rsid w:val="00D66D7B"/>
    <w:rsid w:val="00D66EC3"/>
    <w:rsid w:val="00D66FFC"/>
    <w:rsid w:val="00D67217"/>
    <w:rsid w:val="00D6742B"/>
    <w:rsid w:val="00D67741"/>
    <w:rsid w:val="00D67819"/>
    <w:rsid w:val="00D67C2F"/>
    <w:rsid w:val="00D67C67"/>
    <w:rsid w:val="00D67DAA"/>
    <w:rsid w:val="00D70063"/>
    <w:rsid w:val="00D70172"/>
    <w:rsid w:val="00D7020B"/>
    <w:rsid w:val="00D703B0"/>
    <w:rsid w:val="00D70526"/>
    <w:rsid w:val="00D706CE"/>
    <w:rsid w:val="00D707F3"/>
    <w:rsid w:val="00D7080C"/>
    <w:rsid w:val="00D7083F"/>
    <w:rsid w:val="00D708E0"/>
    <w:rsid w:val="00D70DD7"/>
    <w:rsid w:val="00D71448"/>
    <w:rsid w:val="00D7150D"/>
    <w:rsid w:val="00D71870"/>
    <w:rsid w:val="00D718C0"/>
    <w:rsid w:val="00D71B25"/>
    <w:rsid w:val="00D72510"/>
    <w:rsid w:val="00D728E0"/>
    <w:rsid w:val="00D72BEF"/>
    <w:rsid w:val="00D72E90"/>
    <w:rsid w:val="00D73130"/>
    <w:rsid w:val="00D734FD"/>
    <w:rsid w:val="00D7359F"/>
    <w:rsid w:val="00D7394A"/>
    <w:rsid w:val="00D740D2"/>
    <w:rsid w:val="00D7424D"/>
    <w:rsid w:val="00D74252"/>
    <w:rsid w:val="00D742A2"/>
    <w:rsid w:val="00D743C3"/>
    <w:rsid w:val="00D74484"/>
    <w:rsid w:val="00D749CB"/>
    <w:rsid w:val="00D7514B"/>
    <w:rsid w:val="00D75521"/>
    <w:rsid w:val="00D75668"/>
    <w:rsid w:val="00D758E8"/>
    <w:rsid w:val="00D759C6"/>
    <w:rsid w:val="00D75B4E"/>
    <w:rsid w:val="00D75DDC"/>
    <w:rsid w:val="00D7604B"/>
    <w:rsid w:val="00D76068"/>
    <w:rsid w:val="00D762E1"/>
    <w:rsid w:val="00D7668E"/>
    <w:rsid w:val="00D76946"/>
    <w:rsid w:val="00D77068"/>
    <w:rsid w:val="00D77158"/>
    <w:rsid w:val="00D776E4"/>
    <w:rsid w:val="00D776EE"/>
    <w:rsid w:val="00D77CC8"/>
    <w:rsid w:val="00D80052"/>
    <w:rsid w:val="00D80879"/>
    <w:rsid w:val="00D808BA"/>
    <w:rsid w:val="00D809A5"/>
    <w:rsid w:val="00D80A97"/>
    <w:rsid w:val="00D80CF2"/>
    <w:rsid w:val="00D80D11"/>
    <w:rsid w:val="00D80E59"/>
    <w:rsid w:val="00D80EE9"/>
    <w:rsid w:val="00D80F2F"/>
    <w:rsid w:val="00D81404"/>
    <w:rsid w:val="00D817FC"/>
    <w:rsid w:val="00D818A5"/>
    <w:rsid w:val="00D819C2"/>
    <w:rsid w:val="00D81A2A"/>
    <w:rsid w:val="00D81C4E"/>
    <w:rsid w:val="00D82062"/>
    <w:rsid w:val="00D820D4"/>
    <w:rsid w:val="00D82289"/>
    <w:rsid w:val="00D825BB"/>
    <w:rsid w:val="00D8280B"/>
    <w:rsid w:val="00D82910"/>
    <w:rsid w:val="00D82946"/>
    <w:rsid w:val="00D82A19"/>
    <w:rsid w:val="00D82ABE"/>
    <w:rsid w:val="00D82D9C"/>
    <w:rsid w:val="00D833AE"/>
    <w:rsid w:val="00D8344B"/>
    <w:rsid w:val="00D83506"/>
    <w:rsid w:val="00D836B0"/>
    <w:rsid w:val="00D83A43"/>
    <w:rsid w:val="00D83AAE"/>
    <w:rsid w:val="00D8415D"/>
    <w:rsid w:val="00D845EE"/>
    <w:rsid w:val="00D8468E"/>
    <w:rsid w:val="00D84877"/>
    <w:rsid w:val="00D849D9"/>
    <w:rsid w:val="00D84DD8"/>
    <w:rsid w:val="00D85295"/>
    <w:rsid w:val="00D8533E"/>
    <w:rsid w:val="00D8539A"/>
    <w:rsid w:val="00D85539"/>
    <w:rsid w:val="00D857E7"/>
    <w:rsid w:val="00D85999"/>
    <w:rsid w:val="00D85B0C"/>
    <w:rsid w:val="00D85B6F"/>
    <w:rsid w:val="00D85D3D"/>
    <w:rsid w:val="00D85D5A"/>
    <w:rsid w:val="00D85DDD"/>
    <w:rsid w:val="00D861CA"/>
    <w:rsid w:val="00D864EA"/>
    <w:rsid w:val="00D86D85"/>
    <w:rsid w:val="00D87BDA"/>
    <w:rsid w:val="00D87F9B"/>
    <w:rsid w:val="00D900E4"/>
    <w:rsid w:val="00D9057E"/>
    <w:rsid w:val="00D90750"/>
    <w:rsid w:val="00D90782"/>
    <w:rsid w:val="00D90904"/>
    <w:rsid w:val="00D90A6F"/>
    <w:rsid w:val="00D90B2F"/>
    <w:rsid w:val="00D90C60"/>
    <w:rsid w:val="00D90F94"/>
    <w:rsid w:val="00D91871"/>
    <w:rsid w:val="00D91907"/>
    <w:rsid w:val="00D919BA"/>
    <w:rsid w:val="00D91A0E"/>
    <w:rsid w:val="00D91AD5"/>
    <w:rsid w:val="00D91F46"/>
    <w:rsid w:val="00D91FD1"/>
    <w:rsid w:val="00D92355"/>
    <w:rsid w:val="00D926C3"/>
    <w:rsid w:val="00D92D71"/>
    <w:rsid w:val="00D92E30"/>
    <w:rsid w:val="00D92EE6"/>
    <w:rsid w:val="00D9303D"/>
    <w:rsid w:val="00D932A1"/>
    <w:rsid w:val="00D93B2B"/>
    <w:rsid w:val="00D93B64"/>
    <w:rsid w:val="00D93EE0"/>
    <w:rsid w:val="00D93F50"/>
    <w:rsid w:val="00D944F3"/>
    <w:rsid w:val="00D9459C"/>
    <w:rsid w:val="00D947EE"/>
    <w:rsid w:val="00D94B48"/>
    <w:rsid w:val="00D94C9D"/>
    <w:rsid w:val="00D94D72"/>
    <w:rsid w:val="00D94FFD"/>
    <w:rsid w:val="00D9542D"/>
    <w:rsid w:val="00D956B4"/>
    <w:rsid w:val="00D95756"/>
    <w:rsid w:val="00D9578B"/>
    <w:rsid w:val="00D958E3"/>
    <w:rsid w:val="00D95C8C"/>
    <w:rsid w:val="00D95CD6"/>
    <w:rsid w:val="00D95EC8"/>
    <w:rsid w:val="00D964CB"/>
    <w:rsid w:val="00D96560"/>
    <w:rsid w:val="00D967FA"/>
    <w:rsid w:val="00D968EC"/>
    <w:rsid w:val="00D96C28"/>
    <w:rsid w:val="00D97429"/>
    <w:rsid w:val="00D9767F"/>
    <w:rsid w:val="00D97DF6"/>
    <w:rsid w:val="00D97EE9"/>
    <w:rsid w:val="00D97F73"/>
    <w:rsid w:val="00D97F7C"/>
    <w:rsid w:val="00DA0196"/>
    <w:rsid w:val="00DA0221"/>
    <w:rsid w:val="00DA024D"/>
    <w:rsid w:val="00DA030A"/>
    <w:rsid w:val="00DA06B9"/>
    <w:rsid w:val="00DA0B58"/>
    <w:rsid w:val="00DA0FE1"/>
    <w:rsid w:val="00DA1186"/>
    <w:rsid w:val="00DA13DD"/>
    <w:rsid w:val="00DA143B"/>
    <w:rsid w:val="00DA1BE1"/>
    <w:rsid w:val="00DA1D4C"/>
    <w:rsid w:val="00DA209C"/>
    <w:rsid w:val="00DA221B"/>
    <w:rsid w:val="00DA23E6"/>
    <w:rsid w:val="00DA3106"/>
    <w:rsid w:val="00DA3833"/>
    <w:rsid w:val="00DA3CF1"/>
    <w:rsid w:val="00DA3D84"/>
    <w:rsid w:val="00DA3EC9"/>
    <w:rsid w:val="00DA3EEF"/>
    <w:rsid w:val="00DA3F4C"/>
    <w:rsid w:val="00DA40FA"/>
    <w:rsid w:val="00DA421C"/>
    <w:rsid w:val="00DA425B"/>
    <w:rsid w:val="00DA426D"/>
    <w:rsid w:val="00DA446B"/>
    <w:rsid w:val="00DA467D"/>
    <w:rsid w:val="00DA4716"/>
    <w:rsid w:val="00DA4998"/>
    <w:rsid w:val="00DA4A4D"/>
    <w:rsid w:val="00DA4D43"/>
    <w:rsid w:val="00DA5512"/>
    <w:rsid w:val="00DA55A6"/>
    <w:rsid w:val="00DA55E0"/>
    <w:rsid w:val="00DA5961"/>
    <w:rsid w:val="00DA608F"/>
    <w:rsid w:val="00DA613F"/>
    <w:rsid w:val="00DA623B"/>
    <w:rsid w:val="00DA6743"/>
    <w:rsid w:val="00DA67AE"/>
    <w:rsid w:val="00DA68BB"/>
    <w:rsid w:val="00DA6C4C"/>
    <w:rsid w:val="00DA6F6A"/>
    <w:rsid w:val="00DA6FC5"/>
    <w:rsid w:val="00DA75E1"/>
    <w:rsid w:val="00DB0299"/>
    <w:rsid w:val="00DB0CC9"/>
    <w:rsid w:val="00DB1090"/>
    <w:rsid w:val="00DB13FF"/>
    <w:rsid w:val="00DB1413"/>
    <w:rsid w:val="00DB1436"/>
    <w:rsid w:val="00DB14B5"/>
    <w:rsid w:val="00DB190A"/>
    <w:rsid w:val="00DB1E53"/>
    <w:rsid w:val="00DB22E2"/>
    <w:rsid w:val="00DB2390"/>
    <w:rsid w:val="00DB2521"/>
    <w:rsid w:val="00DB2ACE"/>
    <w:rsid w:val="00DB2E99"/>
    <w:rsid w:val="00DB2F54"/>
    <w:rsid w:val="00DB2F88"/>
    <w:rsid w:val="00DB2F94"/>
    <w:rsid w:val="00DB312C"/>
    <w:rsid w:val="00DB3562"/>
    <w:rsid w:val="00DB37CB"/>
    <w:rsid w:val="00DB3F9E"/>
    <w:rsid w:val="00DB42A1"/>
    <w:rsid w:val="00DB4431"/>
    <w:rsid w:val="00DB563F"/>
    <w:rsid w:val="00DB5985"/>
    <w:rsid w:val="00DB5C28"/>
    <w:rsid w:val="00DB5C51"/>
    <w:rsid w:val="00DB601B"/>
    <w:rsid w:val="00DB61C6"/>
    <w:rsid w:val="00DB6464"/>
    <w:rsid w:val="00DB66B6"/>
    <w:rsid w:val="00DB6830"/>
    <w:rsid w:val="00DB6842"/>
    <w:rsid w:val="00DB6CE5"/>
    <w:rsid w:val="00DB6D2F"/>
    <w:rsid w:val="00DB6D5F"/>
    <w:rsid w:val="00DB6FF0"/>
    <w:rsid w:val="00DB71F8"/>
    <w:rsid w:val="00DB76A9"/>
    <w:rsid w:val="00DB76BA"/>
    <w:rsid w:val="00DB7924"/>
    <w:rsid w:val="00DB7F16"/>
    <w:rsid w:val="00DC02C5"/>
    <w:rsid w:val="00DC02F8"/>
    <w:rsid w:val="00DC0394"/>
    <w:rsid w:val="00DC062C"/>
    <w:rsid w:val="00DC0836"/>
    <w:rsid w:val="00DC0F77"/>
    <w:rsid w:val="00DC10A0"/>
    <w:rsid w:val="00DC1181"/>
    <w:rsid w:val="00DC1371"/>
    <w:rsid w:val="00DC178C"/>
    <w:rsid w:val="00DC1930"/>
    <w:rsid w:val="00DC1E95"/>
    <w:rsid w:val="00DC2047"/>
    <w:rsid w:val="00DC21B0"/>
    <w:rsid w:val="00DC3092"/>
    <w:rsid w:val="00DC3305"/>
    <w:rsid w:val="00DC338B"/>
    <w:rsid w:val="00DC3557"/>
    <w:rsid w:val="00DC3728"/>
    <w:rsid w:val="00DC3764"/>
    <w:rsid w:val="00DC3774"/>
    <w:rsid w:val="00DC3A29"/>
    <w:rsid w:val="00DC3B8E"/>
    <w:rsid w:val="00DC41D8"/>
    <w:rsid w:val="00DC4711"/>
    <w:rsid w:val="00DC49AD"/>
    <w:rsid w:val="00DC54F6"/>
    <w:rsid w:val="00DC5539"/>
    <w:rsid w:val="00DC562E"/>
    <w:rsid w:val="00DC5BE6"/>
    <w:rsid w:val="00DC5C54"/>
    <w:rsid w:val="00DC5DC0"/>
    <w:rsid w:val="00DC5E53"/>
    <w:rsid w:val="00DC5F33"/>
    <w:rsid w:val="00DC6193"/>
    <w:rsid w:val="00DC6252"/>
    <w:rsid w:val="00DC67E4"/>
    <w:rsid w:val="00DC6910"/>
    <w:rsid w:val="00DC6AD3"/>
    <w:rsid w:val="00DC763C"/>
    <w:rsid w:val="00DD01B1"/>
    <w:rsid w:val="00DD05F3"/>
    <w:rsid w:val="00DD0DBC"/>
    <w:rsid w:val="00DD0E80"/>
    <w:rsid w:val="00DD1053"/>
    <w:rsid w:val="00DD109C"/>
    <w:rsid w:val="00DD1807"/>
    <w:rsid w:val="00DD1A1B"/>
    <w:rsid w:val="00DD1B33"/>
    <w:rsid w:val="00DD239A"/>
    <w:rsid w:val="00DD253C"/>
    <w:rsid w:val="00DD26C1"/>
    <w:rsid w:val="00DD277B"/>
    <w:rsid w:val="00DD279D"/>
    <w:rsid w:val="00DD2832"/>
    <w:rsid w:val="00DD33A5"/>
    <w:rsid w:val="00DD34ED"/>
    <w:rsid w:val="00DD36F2"/>
    <w:rsid w:val="00DD3E07"/>
    <w:rsid w:val="00DD4074"/>
    <w:rsid w:val="00DD40C6"/>
    <w:rsid w:val="00DD421B"/>
    <w:rsid w:val="00DD47E5"/>
    <w:rsid w:val="00DD49A9"/>
    <w:rsid w:val="00DD523F"/>
    <w:rsid w:val="00DD5620"/>
    <w:rsid w:val="00DD5D94"/>
    <w:rsid w:val="00DD5F99"/>
    <w:rsid w:val="00DD5FF7"/>
    <w:rsid w:val="00DD68A4"/>
    <w:rsid w:val="00DD697C"/>
    <w:rsid w:val="00DD6E16"/>
    <w:rsid w:val="00DD713A"/>
    <w:rsid w:val="00DD733A"/>
    <w:rsid w:val="00DD747D"/>
    <w:rsid w:val="00DD74BA"/>
    <w:rsid w:val="00DD7E09"/>
    <w:rsid w:val="00DD7E90"/>
    <w:rsid w:val="00DE0044"/>
    <w:rsid w:val="00DE03C9"/>
    <w:rsid w:val="00DE0523"/>
    <w:rsid w:val="00DE0A5A"/>
    <w:rsid w:val="00DE10A4"/>
    <w:rsid w:val="00DE1517"/>
    <w:rsid w:val="00DE1568"/>
    <w:rsid w:val="00DE15AA"/>
    <w:rsid w:val="00DE1709"/>
    <w:rsid w:val="00DE17BD"/>
    <w:rsid w:val="00DE1A85"/>
    <w:rsid w:val="00DE1FB4"/>
    <w:rsid w:val="00DE1FBC"/>
    <w:rsid w:val="00DE1FF8"/>
    <w:rsid w:val="00DE2447"/>
    <w:rsid w:val="00DE249E"/>
    <w:rsid w:val="00DE24B6"/>
    <w:rsid w:val="00DE2C01"/>
    <w:rsid w:val="00DE2C83"/>
    <w:rsid w:val="00DE3112"/>
    <w:rsid w:val="00DE3762"/>
    <w:rsid w:val="00DE3AB0"/>
    <w:rsid w:val="00DE3DCC"/>
    <w:rsid w:val="00DE4280"/>
    <w:rsid w:val="00DE4457"/>
    <w:rsid w:val="00DE4465"/>
    <w:rsid w:val="00DE467F"/>
    <w:rsid w:val="00DE4977"/>
    <w:rsid w:val="00DE4B04"/>
    <w:rsid w:val="00DE4F2B"/>
    <w:rsid w:val="00DE4FE1"/>
    <w:rsid w:val="00DE50A7"/>
    <w:rsid w:val="00DE536C"/>
    <w:rsid w:val="00DE54CB"/>
    <w:rsid w:val="00DE5643"/>
    <w:rsid w:val="00DE5A8F"/>
    <w:rsid w:val="00DE5D0F"/>
    <w:rsid w:val="00DE5FEF"/>
    <w:rsid w:val="00DE6071"/>
    <w:rsid w:val="00DE63AD"/>
    <w:rsid w:val="00DE7153"/>
    <w:rsid w:val="00DE7267"/>
    <w:rsid w:val="00DE7325"/>
    <w:rsid w:val="00DE736C"/>
    <w:rsid w:val="00DE76AF"/>
    <w:rsid w:val="00DE7BD4"/>
    <w:rsid w:val="00DF007C"/>
    <w:rsid w:val="00DF0490"/>
    <w:rsid w:val="00DF05AA"/>
    <w:rsid w:val="00DF083E"/>
    <w:rsid w:val="00DF0947"/>
    <w:rsid w:val="00DF0E01"/>
    <w:rsid w:val="00DF0E57"/>
    <w:rsid w:val="00DF173F"/>
    <w:rsid w:val="00DF1C52"/>
    <w:rsid w:val="00DF1DF1"/>
    <w:rsid w:val="00DF1F8D"/>
    <w:rsid w:val="00DF20D4"/>
    <w:rsid w:val="00DF2231"/>
    <w:rsid w:val="00DF22B9"/>
    <w:rsid w:val="00DF23DC"/>
    <w:rsid w:val="00DF25E5"/>
    <w:rsid w:val="00DF2DBD"/>
    <w:rsid w:val="00DF3087"/>
    <w:rsid w:val="00DF31E1"/>
    <w:rsid w:val="00DF34D8"/>
    <w:rsid w:val="00DF37BC"/>
    <w:rsid w:val="00DF38B6"/>
    <w:rsid w:val="00DF3A70"/>
    <w:rsid w:val="00DF3AE0"/>
    <w:rsid w:val="00DF3BC4"/>
    <w:rsid w:val="00DF4140"/>
    <w:rsid w:val="00DF4930"/>
    <w:rsid w:val="00DF4C58"/>
    <w:rsid w:val="00DF510C"/>
    <w:rsid w:val="00DF5114"/>
    <w:rsid w:val="00DF57B3"/>
    <w:rsid w:val="00DF5F31"/>
    <w:rsid w:val="00DF5FE8"/>
    <w:rsid w:val="00DF6077"/>
    <w:rsid w:val="00DF64D6"/>
    <w:rsid w:val="00DF6510"/>
    <w:rsid w:val="00DF6712"/>
    <w:rsid w:val="00DF67D2"/>
    <w:rsid w:val="00DF6B2A"/>
    <w:rsid w:val="00DF6BB0"/>
    <w:rsid w:val="00DF6F1D"/>
    <w:rsid w:val="00DF701C"/>
    <w:rsid w:val="00DF70E2"/>
    <w:rsid w:val="00DF713B"/>
    <w:rsid w:val="00DF71D3"/>
    <w:rsid w:val="00DF74FB"/>
    <w:rsid w:val="00DF76CD"/>
    <w:rsid w:val="00DF778C"/>
    <w:rsid w:val="00DF7BD2"/>
    <w:rsid w:val="00E00464"/>
    <w:rsid w:val="00E006DF"/>
    <w:rsid w:val="00E009FF"/>
    <w:rsid w:val="00E00C27"/>
    <w:rsid w:val="00E00FB9"/>
    <w:rsid w:val="00E01014"/>
    <w:rsid w:val="00E011A0"/>
    <w:rsid w:val="00E01277"/>
    <w:rsid w:val="00E013BC"/>
    <w:rsid w:val="00E01499"/>
    <w:rsid w:val="00E014D0"/>
    <w:rsid w:val="00E01892"/>
    <w:rsid w:val="00E01CF1"/>
    <w:rsid w:val="00E01D70"/>
    <w:rsid w:val="00E01F5C"/>
    <w:rsid w:val="00E02294"/>
    <w:rsid w:val="00E02458"/>
    <w:rsid w:val="00E02B65"/>
    <w:rsid w:val="00E02F94"/>
    <w:rsid w:val="00E03298"/>
    <w:rsid w:val="00E03450"/>
    <w:rsid w:val="00E035B9"/>
    <w:rsid w:val="00E03828"/>
    <w:rsid w:val="00E038B9"/>
    <w:rsid w:val="00E038D4"/>
    <w:rsid w:val="00E039F4"/>
    <w:rsid w:val="00E039FF"/>
    <w:rsid w:val="00E03B51"/>
    <w:rsid w:val="00E03C6A"/>
    <w:rsid w:val="00E03E00"/>
    <w:rsid w:val="00E044FA"/>
    <w:rsid w:val="00E045FE"/>
    <w:rsid w:val="00E046D4"/>
    <w:rsid w:val="00E04AF2"/>
    <w:rsid w:val="00E04B42"/>
    <w:rsid w:val="00E04B89"/>
    <w:rsid w:val="00E056B2"/>
    <w:rsid w:val="00E05C74"/>
    <w:rsid w:val="00E06C4A"/>
    <w:rsid w:val="00E06D9C"/>
    <w:rsid w:val="00E07228"/>
    <w:rsid w:val="00E07307"/>
    <w:rsid w:val="00E077D4"/>
    <w:rsid w:val="00E079E4"/>
    <w:rsid w:val="00E07A58"/>
    <w:rsid w:val="00E07D7B"/>
    <w:rsid w:val="00E07EDA"/>
    <w:rsid w:val="00E07F17"/>
    <w:rsid w:val="00E07FBB"/>
    <w:rsid w:val="00E10047"/>
    <w:rsid w:val="00E1016C"/>
    <w:rsid w:val="00E1022C"/>
    <w:rsid w:val="00E102CA"/>
    <w:rsid w:val="00E104F4"/>
    <w:rsid w:val="00E1064F"/>
    <w:rsid w:val="00E109D2"/>
    <w:rsid w:val="00E10A37"/>
    <w:rsid w:val="00E10A78"/>
    <w:rsid w:val="00E10C23"/>
    <w:rsid w:val="00E10C9C"/>
    <w:rsid w:val="00E10D17"/>
    <w:rsid w:val="00E1123B"/>
    <w:rsid w:val="00E11456"/>
    <w:rsid w:val="00E114C4"/>
    <w:rsid w:val="00E1167C"/>
    <w:rsid w:val="00E11797"/>
    <w:rsid w:val="00E11997"/>
    <w:rsid w:val="00E11A5B"/>
    <w:rsid w:val="00E12301"/>
    <w:rsid w:val="00E1277A"/>
    <w:rsid w:val="00E12826"/>
    <w:rsid w:val="00E1284A"/>
    <w:rsid w:val="00E12A40"/>
    <w:rsid w:val="00E12D9F"/>
    <w:rsid w:val="00E12DA6"/>
    <w:rsid w:val="00E12E36"/>
    <w:rsid w:val="00E134DB"/>
    <w:rsid w:val="00E1356D"/>
    <w:rsid w:val="00E13781"/>
    <w:rsid w:val="00E137C2"/>
    <w:rsid w:val="00E139EE"/>
    <w:rsid w:val="00E13B63"/>
    <w:rsid w:val="00E13DA2"/>
    <w:rsid w:val="00E13E6A"/>
    <w:rsid w:val="00E141FB"/>
    <w:rsid w:val="00E1421E"/>
    <w:rsid w:val="00E14481"/>
    <w:rsid w:val="00E14698"/>
    <w:rsid w:val="00E1485B"/>
    <w:rsid w:val="00E14C17"/>
    <w:rsid w:val="00E14F1B"/>
    <w:rsid w:val="00E14FF0"/>
    <w:rsid w:val="00E15345"/>
    <w:rsid w:val="00E153D3"/>
    <w:rsid w:val="00E15811"/>
    <w:rsid w:val="00E1598A"/>
    <w:rsid w:val="00E15D70"/>
    <w:rsid w:val="00E160F4"/>
    <w:rsid w:val="00E16112"/>
    <w:rsid w:val="00E16283"/>
    <w:rsid w:val="00E1659B"/>
    <w:rsid w:val="00E167BE"/>
    <w:rsid w:val="00E16AAF"/>
    <w:rsid w:val="00E16B9F"/>
    <w:rsid w:val="00E174A4"/>
    <w:rsid w:val="00E1769C"/>
    <w:rsid w:val="00E20502"/>
    <w:rsid w:val="00E20539"/>
    <w:rsid w:val="00E206EB"/>
    <w:rsid w:val="00E20730"/>
    <w:rsid w:val="00E207A0"/>
    <w:rsid w:val="00E20935"/>
    <w:rsid w:val="00E20B1C"/>
    <w:rsid w:val="00E20D51"/>
    <w:rsid w:val="00E20EB4"/>
    <w:rsid w:val="00E210AC"/>
    <w:rsid w:val="00E211A5"/>
    <w:rsid w:val="00E2176D"/>
    <w:rsid w:val="00E21961"/>
    <w:rsid w:val="00E21C45"/>
    <w:rsid w:val="00E21CD0"/>
    <w:rsid w:val="00E2201F"/>
    <w:rsid w:val="00E22173"/>
    <w:rsid w:val="00E22199"/>
    <w:rsid w:val="00E222AC"/>
    <w:rsid w:val="00E226CE"/>
    <w:rsid w:val="00E22828"/>
    <w:rsid w:val="00E229FE"/>
    <w:rsid w:val="00E22C80"/>
    <w:rsid w:val="00E22DF8"/>
    <w:rsid w:val="00E22E40"/>
    <w:rsid w:val="00E23487"/>
    <w:rsid w:val="00E23AFA"/>
    <w:rsid w:val="00E23B4A"/>
    <w:rsid w:val="00E243FA"/>
    <w:rsid w:val="00E245B4"/>
    <w:rsid w:val="00E245FE"/>
    <w:rsid w:val="00E2495E"/>
    <w:rsid w:val="00E25139"/>
    <w:rsid w:val="00E252D0"/>
    <w:rsid w:val="00E253B5"/>
    <w:rsid w:val="00E25483"/>
    <w:rsid w:val="00E25562"/>
    <w:rsid w:val="00E25644"/>
    <w:rsid w:val="00E2572C"/>
    <w:rsid w:val="00E2578D"/>
    <w:rsid w:val="00E257B8"/>
    <w:rsid w:val="00E25D94"/>
    <w:rsid w:val="00E2671D"/>
    <w:rsid w:val="00E26A2B"/>
    <w:rsid w:val="00E26E47"/>
    <w:rsid w:val="00E27473"/>
    <w:rsid w:val="00E27928"/>
    <w:rsid w:val="00E27A99"/>
    <w:rsid w:val="00E27CF6"/>
    <w:rsid w:val="00E27DE1"/>
    <w:rsid w:val="00E3032B"/>
    <w:rsid w:val="00E3038B"/>
    <w:rsid w:val="00E3042F"/>
    <w:rsid w:val="00E3059F"/>
    <w:rsid w:val="00E305E3"/>
    <w:rsid w:val="00E3072B"/>
    <w:rsid w:val="00E3097D"/>
    <w:rsid w:val="00E30A16"/>
    <w:rsid w:val="00E30E56"/>
    <w:rsid w:val="00E3100E"/>
    <w:rsid w:val="00E31227"/>
    <w:rsid w:val="00E312FC"/>
    <w:rsid w:val="00E313C5"/>
    <w:rsid w:val="00E319D2"/>
    <w:rsid w:val="00E31AF2"/>
    <w:rsid w:val="00E31D2D"/>
    <w:rsid w:val="00E31D5E"/>
    <w:rsid w:val="00E32391"/>
    <w:rsid w:val="00E3254B"/>
    <w:rsid w:val="00E32666"/>
    <w:rsid w:val="00E326B0"/>
    <w:rsid w:val="00E32AC3"/>
    <w:rsid w:val="00E32E67"/>
    <w:rsid w:val="00E32E70"/>
    <w:rsid w:val="00E32F3C"/>
    <w:rsid w:val="00E3346D"/>
    <w:rsid w:val="00E33479"/>
    <w:rsid w:val="00E336A4"/>
    <w:rsid w:val="00E3386A"/>
    <w:rsid w:val="00E33C9B"/>
    <w:rsid w:val="00E33D4D"/>
    <w:rsid w:val="00E34324"/>
    <w:rsid w:val="00E34466"/>
    <w:rsid w:val="00E34568"/>
    <w:rsid w:val="00E34650"/>
    <w:rsid w:val="00E3472E"/>
    <w:rsid w:val="00E349FC"/>
    <w:rsid w:val="00E34A62"/>
    <w:rsid w:val="00E34D99"/>
    <w:rsid w:val="00E35399"/>
    <w:rsid w:val="00E353C6"/>
    <w:rsid w:val="00E35783"/>
    <w:rsid w:val="00E35AFF"/>
    <w:rsid w:val="00E35B23"/>
    <w:rsid w:val="00E35B6F"/>
    <w:rsid w:val="00E361F3"/>
    <w:rsid w:val="00E36652"/>
    <w:rsid w:val="00E369BE"/>
    <w:rsid w:val="00E36B8D"/>
    <w:rsid w:val="00E36DC2"/>
    <w:rsid w:val="00E37756"/>
    <w:rsid w:val="00E37A58"/>
    <w:rsid w:val="00E37AB1"/>
    <w:rsid w:val="00E37C05"/>
    <w:rsid w:val="00E37D4A"/>
    <w:rsid w:val="00E400C1"/>
    <w:rsid w:val="00E403B0"/>
    <w:rsid w:val="00E403F9"/>
    <w:rsid w:val="00E409F2"/>
    <w:rsid w:val="00E40B3C"/>
    <w:rsid w:val="00E4113C"/>
    <w:rsid w:val="00E413DD"/>
    <w:rsid w:val="00E41E18"/>
    <w:rsid w:val="00E42326"/>
    <w:rsid w:val="00E42361"/>
    <w:rsid w:val="00E426C7"/>
    <w:rsid w:val="00E42BE2"/>
    <w:rsid w:val="00E42CF0"/>
    <w:rsid w:val="00E42F5B"/>
    <w:rsid w:val="00E42F6B"/>
    <w:rsid w:val="00E432E4"/>
    <w:rsid w:val="00E4334D"/>
    <w:rsid w:val="00E43360"/>
    <w:rsid w:val="00E4353C"/>
    <w:rsid w:val="00E43576"/>
    <w:rsid w:val="00E43821"/>
    <w:rsid w:val="00E4398A"/>
    <w:rsid w:val="00E43A7A"/>
    <w:rsid w:val="00E43C07"/>
    <w:rsid w:val="00E43E68"/>
    <w:rsid w:val="00E44190"/>
    <w:rsid w:val="00E44481"/>
    <w:rsid w:val="00E44741"/>
    <w:rsid w:val="00E44847"/>
    <w:rsid w:val="00E4484F"/>
    <w:rsid w:val="00E45596"/>
    <w:rsid w:val="00E45786"/>
    <w:rsid w:val="00E457AD"/>
    <w:rsid w:val="00E45802"/>
    <w:rsid w:val="00E4590C"/>
    <w:rsid w:val="00E459E6"/>
    <w:rsid w:val="00E45B05"/>
    <w:rsid w:val="00E45B7A"/>
    <w:rsid w:val="00E45CC3"/>
    <w:rsid w:val="00E45D10"/>
    <w:rsid w:val="00E46167"/>
    <w:rsid w:val="00E4642D"/>
    <w:rsid w:val="00E46581"/>
    <w:rsid w:val="00E46830"/>
    <w:rsid w:val="00E46868"/>
    <w:rsid w:val="00E469E7"/>
    <w:rsid w:val="00E46A1B"/>
    <w:rsid w:val="00E46AB5"/>
    <w:rsid w:val="00E470F4"/>
    <w:rsid w:val="00E472C1"/>
    <w:rsid w:val="00E4730A"/>
    <w:rsid w:val="00E4792A"/>
    <w:rsid w:val="00E47E77"/>
    <w:rsid w:val="00E5010D"/>
    <w:rsid w:val="00E5049D"/>
    <w:rsid w:val="00E5065E"/>
    <w:rsid w:val="00E50E2A"/>
    <w:rsid w:val="00E50E47"/>
    <w:rsid w:val="00E50EDA"/>
    <w:rsid w:val="00E513BA"/>
    <w:rsid w:val="00E51645"/>
    <w:rsid w:val="00E51B3D"/>
    <w:rsid w:val="00E51D16"/>
    <w:rsid w:val="00E522E2"/>
    <w:rsid w:val="00E52723"/>
    <w:rsid w:val="00E5286F"/>
    <w:rsid w:val="00E52B2E"/>
    <w:rsid w:val="00E532F8"/>
    <w:rsid w:val="00E533BA"/>
    <w:rsid w:val="00E53A5C"/>
    <w:rsid w:val="00E53B4D"/>
    <w:rsid w:val="00E53CB0"/>
    <w:rsid w:val="00E53D6A"/>
    <w:rsid w:val="00E545E3"/>
    <w:rsid w:val="00E54C3A"/>
    <w:rsid w:val="00E54CE2"/>
    <w:rsid w:val="00E54DF8"/>
    <w:rsid w:val="00E54E75"/>
    <w:rsid w:val="00E5509B"/>
    <w:rsid w:val="00E5519A"/>
    <w:rsid w:val="00E5526A"/>
    <w:rsid w:val="00E557AE"/>
    <w:rsid w:val="00E55AC6"/>
    <w:rsid w:val="00E55B59"/>
    <w:rsid w:val="00E55DDE"/>
    <w:rsid w:val="00E5625B"/>
    <w:rsid w:val="00E56522"/>
    <w:rsid w:val="00E56A39"/>
    <w:rsid w:val="00E56A76"/>
    <w:rsid w:val="00E56DCD"/>
    <w:rsid w:val="00E57029"/>
    <w:rsid w:val="00E574F5"/>
    <w:rsid w:val="00E57794"/>
    <w:rsid w:val="00E5790A"/>
    <w:rsid w:val="00E5797E"/>
    <w:rsid w:val="00E57A74"/>
    <w:rsid w:val="00E57C7D"/>
    <w:rsid w:val="00E57F82"/>
    <w:rsid w:val="00E57F9D"/>
    <w:rsid w:val="00E60243"/>
    <w:rsid w:val="00E60297"/>
    <w:rsid w:val="00E6054A"/>
    <w:rsid w:val="00E60779"/>
    <w:rsid w:val="00E60A28"/>
    <w:rsid w:val="00E60D42"/>
    <w:rsid w:val="00E60F07"/>
    <w:rsid w:val="00E60FE6"/>
    <w:rsid w:val="00E6103E"/>
    <w:rsid w:val="00E6107A"/>
    <w:rsid w:val="00E613CA"/>
    <w:rsid w:val="00E61780"/>
    <w:rsid w:val="00E617B0"/>
    <w:rsid w:val="00E6212E"/>
    <w:rsid w:val="00E621CC"/>
    <w:rsid w:val="00E622ED"/>
    <w:rsid w:val="00E62377"/>
    <w:rsid w:val="00E62495"/>
    <w:rsid w:val="00E62667"/>
    <w:rsid w:val="00E627D8"/>
    <w:rsid w:val="00E6285D"/>
    <w:rsid w:val="00E62F9A"/>
    <w:rsid w:val="00E62FF3"/>
    <w:rsid w:val="00E63CE7"/>
    <w:rsid w:val="00E6408E"/>
    <w:rsid w:val="00E6433D"/>
    <w:rsid w:val="00E64409"/>
    <w:rsid w:val="00E64789"/>
    <w:rsid w:val="00E647CA"/>
    <w:rsid w:val="00E64848"/>
    <w:rsid w:val="00E65329"/>
    <w:rsid w:val="00E653AF"/>
    <w:rsid w:val="00E655AD"/>
    <w:rsid w:val="00E65DA6"/>
    <w:rsid w:val="00E6613F"/>
    <w:rsid w:val="00E66528"/>
    <w:rsid w:val="00E669F0"/>
    <w:rsid w:val="00E66B05"/>
    <w:rsid w:val="00E66C12"/>
    <w:rsid w:val="00E66D13"/>
    <w:rsid w:val="00E6701A"/>
    <w:rsid w:val="00E6717E"/>
    <w:rsid w:val="00E67381"/>
    <w:rsid w:val="00E674C6"/>
    <w:rsid w:val="00E67876"/>
    <w:rsid w:val="00E70160"/>
    <w:rsid w:val="00E7032F"/>
    <w:rsid w:val="00E7045A"/>
    <w:rsid w:val="00E70478"/>
    <w:rsid w:val="00E708AD"/>
    <w:rsid w:val="00E70AB7"/>
    <w:rsid w:val="00E70AD7"/>
    <w:rsid w:val="00E70BD0"/>
    <w:rsid w:val="00E70DFF"/>
    <w:rsid w:val="00E70F64"/>
    <w:rsid w:val="00E70FD3"/>
    <w:rsid w:val="00E71053"/>
    <w:rsid w:val="00E711B0"/>
    <w:rsid w:val="00E71452"/>
    <w:rsid w:val="00E71FAF"/>
    <w:rsid w:val="00E720BA"/>
    <w:rsid w:val="00E7238B"/>
    <w:rsid w:val="00E72878"/>
    <w:rsid w:val="00E72BF9"/>
    <w:rsid w:val="00E72DE5"/>
    <w:rsid w:val="00E730E8"/>
    <w:rsid w:val="00E734A0"/>
    <w:rsid w:val="00E736DC"/>
    <w:rsid w:val="00E73AD5"/>
    <w:rsid w:val="00E73ECB"/>
    <w:rsid w:val="00E7460F"/>
    <w:rsid w:val="00E74685"/>
    <w:rsid w:val="00E7529F"/>
    <w:rsid w:val="00E75691"/>
    <w:rsid w:val="00E75B6B"/>
    <w:rsid w:val="00E75C9C"/>
    <w:rsid w:val="00E75CFD"/>
    <w:rsid w:val="00E75E65"/>
    <w:rsid w:val="00E7602F"/>
    <w:rsid w:val="00E760C8"/>
    <w:rsid w:val="00E76293"/>
    <w:rsid w:val="00E76517"/>
    <w:rsid w:val="00E76920"/>
    <w:rsid w:val="00E76AA6"/>
    <w:rsid w:val="00E76AEC"/>
    <w:rsid w:val="00E7701C"/>
    <w:rsid w:val="00E7735D"/>
    <w:rsid w:val="00E7769B"/>
    <w:rsid w:val="00E777A3"/>
    <w:rsid w:val="00E777E8"/>
    <w:rsid w:val="00E77BD1"/>
    <w:rsid w:val="00E77EC7"/>
    <w:rsid w:val="00E77F0C"/>
    <w:rsid w:val="00E80233"/>
    <w:rsid w:val="00E8036D"/>
    <w:rsid w:val="00E80387"/>
    <w:rsid w:val="00E8045B"/>
    <w:rsid w:val="00E808C4"/>
    <w:rsid w:val="00E80A21"/>
    <w:rsid w:val="00E8101D"/>
    <w:rsid w:val="00E81D64"/>
    <w:rsid w:val="00E81DD5"/>
    <w:rsid w:val="00E82562"/>
    <w:rsid w:val="00E8265D"/>
    <w:rsid w:val="00E826E7"/>
    <w:rsid w:val="00E82782"/>
    <w:rsid w:val="00E82A64"/>
    <w:rsid w:val="00E82D27"/>
    <w:rsid w:val="00E83083"/>
    <w:rsid w:val="00E83195"/>
    <w:rsid w:val="00E8321C"/>
    <w:rsid w:val="00E83AC6"/>
    <w:rsid w:val="00E83F5C"/>
    <w:rsid w:val="00E8401C"/>
    <w:rsid w:val="00E84424"/>
    <w:rsid w:val="00E847F0"/>
    <w:rsid w:val="00E84A45"/>
    <w:rsid w:val="00E84D15"/>
    <w:rsid w:val="00E84DB2"/>
    <w:rsid w:val="00E85541"/>
    <w:rsid w:val="00E85658"/>
    <w:rsid w:val="00E8589C"/>
    <w:rsid w:val="00E859EE"/>
    <w:rsid w:val="00E85C12"/>
    <w:rsid w:val="00E85D14"/>
    <w:rsid w:val="00E85D58"/>
    <w:rsid w:val="00E85D61"/>
    <w:rsid w:val="00E85DC0"/>
    <w:rsid w:val="00E86004"/>
    <w:rsid w:val="00E86035"/>
    <w:rsid w:val="00E8611B"/>
    <w:rsid w:val="00E8632E"/>
    <w:rsid w:val="00E86A9D"/>
    <w:rsid w:val="00E86BF7"/>
    <w:rsid w:val="00E8706F"/>
    <w:rsid w:val="00E87441"/>
    <w:rsid w:val="00E87746"/>
    <w:rsid w:val="00E87907"/>
    <w:rsid w:val="00E87A23"/>
    <w:rsid w:val="00E87DC8"/>
    <w:rsid w:val="00E9002A"/>
    <w:rsid w:val="00E9020D"/>
    <w:rsid w:val="00E90322"/>
    <w:rsid w:val="00E90668"/>
    <w:rsid w:val="00E90843"/>
    <w:rsid w:val="00E909C8"/>
    <w:rsid w:val="00E90A7B"/>
    <w:rsid w:val="00E90EDC"/>
    <w:rsid w:val="00E91526"/>
    <w:rsid w:val="00E917E4"/>
    <w:rsid w:val="00E9182F"/>
    <w:rsid w:val="00E919E3"/>
    <w:rsid w:val="00E91AC9"/>
    <w:rsid w:val="00E91B38"/>
    <w:rsid w:val="00E91DBA"/>
    <w:rsid w:val="00E91DED"/>
    <w:rsid w:val="00E92102"/>
    <w:rsid w:val="00E92121"/>
    <w:rsid w:val="00E922CF"/>
    <w:rsid w:val="00E9294F"/>
    <w:rsid w:val="00E92A38"/>
    <w:rsid w:val="00E92A4E"/>
    <w:rsid w:val="00E93112"/>
    <w:rsid w:val="00E9313D"/>
    <w:rsid w:val="00E9361E"/>
    <w:rsid w:val="00E939BF"/>
    <w:rsid w:val="00E93A04"/>
    <w:rsid w:val="00E93DA4"/>
    <w:rsid w:val="00E941F6"/>
    <w:rsid w:val="00E94492"/>
    <w:rsid w:val="00E947F5"/>
    <w:rsid w:val="00E94A0F"/>
    <w:rsid w:val="00E94CE1"/>
    <w:rsid w:val="00E94D64"/>
    <w:rsid w:val="00E94D8E"/>
    <w:rsid w:val="00E94D96"/>
    <w:rsid w:val="00E94ED8"/>
    <w:rsid w:val="00E94EFB"/>
    <w:rsid w:val="00E950CC"/>
    <w:rsid w:val="00E952BE"/>
    <w:rsid w:val="00E9546D"/>
    <w:rsid w:val="00E95556"/>
    <w:rsid w:val="00E959B6"/>
    <w:rsid w:val="00E95A90"/>
    <w:rsid w:val="00E95CD3"/>
    <w:rsid w:val="00E95E9E"/>
    <w:rsid w:val="00E9624F"/>
    <w:rsid w:val="00E96599"/>
    <w:rsid w:val="00E9673C"/>
    <w:rsid w:val="00E96F15"/>
    <w:rsid w:val="00E9711F"/>
    <w:rsid w:val="00E97227"/>
    <w:rsid w:val="00E97316"/>
    <w:rsid w:val="00E97BEF"/>
    <w:rsid w:val="00E97FB9"/>
    <w:rsid w:val="00EA00F0"/>
    <w:rsid w:val="00EA0130"/>
    <w:rsid w:val="00EA0445"/>
    <w:rsid w:val="00EA0A5D"/>
    <w:rsid w:val="00EA0B51"/>
    <w:rsid w:val="00EA0D11"/>
    <w:rsid w:val="00EA1031"/>
    <w:rsid w:val="00EA129C"/>
    <w:rsid w:val="00EA12B8"/>
    <w:rsid w:val="00EA1AC6"/>
    <w:rsid w:val="00EA1DAA"/>
    <w:rsid w:val="00EA2042"/>
    <w:rsid w:val="00EA20A2"/>
    <w:rsid w:val="00EA26EB"/>
    <w:rsid w:val="00EA2734"/>
    <w:rsid w:val="00EA2D91"/>
    <w:rsid w:val="00EA2D98"/>
    <w:rsid w:val="00EA2E8F"/>
    <w:rsid w:val="00EA34A5"/>
    <w:rsid w:val="00EA350A"/>
    <w:rsid w:val="00EA37DE"/>
    <w:rsid w:val="00EA3B2A"/>
    <w:rsid w:val="00EA3DD7"/>
    <w:rsid w:val="00EA4561"/>
    <w:rsid w:val="00EA46E7"/>
    <w:rsid w:val="00EA4707"/>
    <w:rsid w:val="00EA47B8"/>
    <w:rsid w:val="00EA4D8B"/>
    <w:rsid w:val="00EA4EB0"/>
    <w:rsid w:val="00EA5480"/>
    <w:rsid w:val="00EA5524"/>
    <w:rsid w:val="00EA56F1"/>
    <w:rsid w:val="00EA5832"/>
    <w:rsid w:val="00EA59F7"/>
    <w:rsid w:val="00EA642A"/>
    <w:rsid w:val="00EA651D"/>
    <w:rsid w:val="00EA660F"/>
    <w:rsid w:val="00EA69AD"/>
    <w:rsid w:val="00EA6C23"/>
    <w:rsid w:val="00EA6C85"/>
    <w:rsid w:val="00EA723B"/>
    <w:rsid w:val="00EA7593"/>
    <w:rsid w:val="00EA765A"/>
    <w:rsid w:val="00EA7663"/>
    <w:rsid w:val="00EA7A2D"/>
    <w:rsid w:val="00EA7C22"/>
    <w:rsid w:val="00EB0105"/>
    <w:rsid w:val="00EB0166"/>
    <w:rsid w:val="00EB01BE"/>
    <w:rsid w:val="00EB050C"/>
    <w:rsid w:val="00EB0622"/>
    <w:rsid w:val="00EB0782"/>
    <w:rsid w:val="00EB0BB4"/>
    <w:rsid w:val="00EB125A"/>
    <w:rsid w:val="00EB1B43"/>
    <w:rsid w:val="00EB1F15"/>
    <w:rsid w:val="00EB237C"/>
    <w:rsid w:val="00EB257D"/>
    <w:rsid w:val="00EB292C"/>
    <w:rsid w:val="00EB2B54"/>
    <w:rsid w:val="00EB3426"/>
    <w:rsid w:val="00EB3525"/>
    <w:rsid w:val="00EB376A"/>
    <w:rsid w:val="00EB3824"/>
    <w:rsid w:val="00EB3954"/>
    <w:rsid w:val="00EB3BA6"/>
    <w:rsid w:val="00EB4375"/>
    <w:rsid w:val="00EB43B0"/>
    <w:rsid w:val="00EB441F"/>
    <w:rsid w:val="00EB4A5D"/>
    <w:rsid w:val="00EB4BE2"/>
    <w:rsid w:val="00EB4C17"/>
    <w:rsid w:val="00EB4E72"/>
    <w:rsid w:val="00EB5021"/>
    <w:rsid w:val="00EB50F4"/>
    <w:rsid w:val="00EB54EC"/>
    <w:rsid w:val="00EB561A"/>
    <w:rsid w:val="00EB5661"/>
    <w:rsid w:val="00EB5A65"/>
    <w:rsid w:val="00EB6783"/>
    <w:rsid w:val="00EB6D9C"/>
    <w:rsid w:val="00EB6F8E"/>
    <w:rsid w:val="00EB71DD"/>
    <w:rsid w:val="00EB7215"/>
    <w:rsid w:val="00EB76A2"/>
    <w:rsid w:val="00EB774E"/>
    <w:rsid w:val="00EB7F52"/>
    <w:rsid w:val="00EC00AF"/>
    <w:rsid w:val="00EC015E"/>
    <w:rsid w:val="00EC01DC"/>
    <w:rsid w:val="00EC08E8"/>
    <w:rsid w:val="00EC09F0"/>
    <w:rsid w:val="00EC12AF"/>
    <w:rsid w:val="00EC1408"/>
    <w:rsid w:val="00EC16BE"/>
    <w:rsid w:val="00EC1751"/>
    <w:rsid w:val="00EC1AA1"/>
    <w:rsid w:val="00EC1EF8"/>
    <w:rsid w:val="00EC28E8"/>
    <w:rsid w:val="00EC3189"/>
    <w:rsid w:val="00EC3413"/>
    <w:rsid w:val="00EC38E2"/>
    <w:rsid w:val="00EC3BB5"/>
    <w:rsid w:val="00EC428F"/>
    <w:rsid w:val="00EC42DC"/>
    <w:rsid w:val="00EC4542"/>
    <w:rsid w:val="00EC472D"/>
    <w:rsid w:val="00EC4932"/>
    <w:rsid w:val="00EC49CE"/>
    <w:rsid w:val="00EC4D7C"/>
    <w:rsid w:val="00EC4EA3"/>
    <w:rsid w:val="00EC4F16"/>
    <w:rsid w:val="00EC52C6"/>
    <w:rsid w:val="00EC533B"/>
    <w:rsid w:val="00EC553B"/>
    <w:rsid w:val="00EC5875"/>
    <w:rsid w:val="00EC58F3"/>
    <w:rsid w:val="00EC5F92"/>
    <w:rsid w:val="00EC6113"/>
    <w:rsid w:val="00EC635A"/>
    <w:rsid w:val="00EC6437"/>
    <w:rsid w:val="00EC68BA"/>
    <w:rsid w:val="00EC68D9"/>
    <w:rsid w:val="00EC699D"/>
    <w:rsid w:val="00EC69AD"/>
    <w:rsid w:val="00EC69E2"/>
    <w:rsid w:val="00EC6B0A"/>
    <w:rsid w:val="00EC6BF3"/>
    <w:rsid w:val="00EC6F4A"/>
    <w:rsid w:val="00EC72F8"/>
    <w:rsid w:val="00EC7348"/>
    <w:rsid w:val="00EC75FD"/>
    <w:rsid w:val="00EC760A"/>
    <w:rsid w:val="00EC76CE"/>
    <w:rsid w:val="00EC7DBA"/>
    <w:rsid w:val="00EC7E20"/>
    <w:rsid w:val="00EC7ED5"/>
    <w:rsid w:val="00EC7EE2"/>
    <w:rsid w:val="00ED0168"/>
    <w:rsid w:val="00ED030A"/>
    <w:rsid w:val="00ED035A"/>
    <w:rsid w:val="00ED03A4"/>
    <w:rsid w:val="00ED0D18"/>
    <w:rsid w:val="00ED0EC9"/>
    <w:rsid w:val="00ED112B"/>
    <w:rsid w:val="00ED1347"/>
    <w:rsid w:val="00ED1973"/>
    <w:rsid w:val="00ED1CBA"/>
    <w:rsid w:val="00ED1E9A"/>
    <w:rsid w:val="00ED2138"/>
    <w:rsid w:val="00ED2AA3"/>
    <w:rsid w:val="00ED2D14"/>
    <w:rsid w:val="00ED2F44"/>
    <w:rsid w:val="00ED30EF"/>
    <w:rsid w:val="00ED320B"/>
    <w:rsid w:val="00ED3D8C"/>
    <w:rsid w:val="00ED406D"/>
    <w:rsid w:val="00ED4289"/>
    <w:rsid w:val="00ED462B"/>
    <w:rsid w:val="00ED470C"/>
    <w:rsid w:val="00ED500E"/>
    <w:rsid w:val="00ED5013"/>
    <w:rsid w:val="00ED5148"/>
    <w:rsid w:val="00ED5741"/>
    <w:rsid w:val="00ED59EF"/>
    <w:rsid w:val="00ED5ABD"/>
    <w:rsid w:val="00ED5F6D"/>
    <w:rsid w:val="00ED619E"/>
    <w:rsid w:val="00ED6BCF"/>
    <w:rsid w:val="00ED6C5C"/>
    <w:rsid w:val="00ED7476"/>
    <w:rsid w:val="00ED74E5"/>
    <w:rsid w:val="00ED78E0"/>
    <w:rsid w:val="00ED794E"/>
    <w:rsid w:val="00ED7E63"/>
    <w:rsid w:val="00ED7EE9"/>
    <w:rsid w:val="00ED7F4F"/>
    <w:rsid w:val="00EE00AA"/>
    <w:rsid w:val="00EE0624"/>
    <w:rsid w:val="00EE069F"/>
    <w:rsid w:val="00EE079F"/>
    <w:rsid w:val="00EE0A4A"/>
    <w:rsid w:val="00EE0D7A"/>
    <w:rsid w:val="00EE0E10"/>
    <w:rsid w:val="00EE0F05"/>
    <w:rsid w:val="00EE1451"/>
    <w:rsid w:val="00EE1B0D"/>
    <w:rsid w:val="00EE205A"/>
    <w:rsid w:val="00EE2B2C"/>
    <w:rsid w:val="00EE2F4C"/>
    <w:rsid w:val="00EE355A"/>
    <w:rsid w:val="00EE3899"/>
    <w:rsid w:val="00EE3B9D"/>
    <w:rsid w:val="00EE3E94"/>
    <w:rsid w:val="00EE3F08"/>
    <w:rsid w:val="00EE40FD"/>
    <w:rsid w:val="00EE4335"/>
    <w:rsid w:val="00EE4490"/>
    <w:rsid w:val="00EE47F2"/>
    <w:rsid w:val="00EE4B93"/>
    <w:rsid w:val="00EE512A"/>
    <w:rsid w:val="00EE574C"/>
    <w:rsid w:val="00EE5D00"/>
    <w:rsid w:val="00EE5D01"/>
    <w:rsid w:val="00EE5EA2"/>
    <w:rsid w:val="00EE632C"/>
    <w:rsid w:val="00EE6481"/>
    <w:rsid w:val="00EE64C8"/>
    <w:rsid w:val="00EE6790"/>
    <w:rsid w:val="00EE6A5C"/>
    <w:rsid w:val="00EE6F97"/>
    <w:rsid w:val="00EE7237"/>
    <w:rsid w:val="00EE766D"/>
    <w:rsid w:val="00EE768B"/>
    <w:rsid w:val="00EF0066"/>
    <w:rsid w:val="00EF076B"/>
    <w:rsid w:val="00EF0DAB"/>
    <w:rsid w:val="00EF11A6"/>
    <w:rsid w:val="00EF1517"/>
    <w:rsid w:val="00EF15B9"/>
    <w:rsid w:val="00EF18B9"/>
    <w:rsid w:val="00EF194B"/>
    <w:rsid w:val="00EF1A2B"/>
    <w:rsid w:val="00EF1B15"/>
    <w:rsid w:val="00EF1B65"/>
    <w:rsid w:val="00EF1D52"/>
    <w:rsid w:val="00EF1F3A"/>
    <w:rsid w:val="00EF20A8"/>
    <w:rsid w:val="00EF213F"/>
    <w:rsid w:val="00EF23A4"/>
    <w:rsid w:val="00EF27C2"/>
    <w:rsid w:val="00EF2928"/>
    <w:rsid w:val="00EF2B89"/>
    <w:rsid w:val="00EF2CDD"/>
    <w:rsid w:val="00EF2F2E"/>
    <w:rsid w:val="00EF3190"/>
    <w:rsid w:val="00EF328C"/>
    <w:rsid w:val="00EF32D2"/>
    <w:rsid w:val="00EF345D"/>
    <w:rsid w:val="00EF3679"/>
    <w:rsid w:val="00EF3694"/>
    <w:rsid w:val="00EF3828"/>
    <w:rsid w:val="00EF3FD4"/>
    <w:rsid w:val="00EF4331"/>
    <w:rsid w:val="00EF45F8"/>
    <w:rsid w:val="00EF464E"/>
    <w:rsid w:val="00EF47C9"/>
    <w:rsid w:val="00EF4C52"/>
    <w:rsid w:val="00EF4F7B"/>
    <w:rsid w:val="00EF51A9"/>
    <w:rsid w:val="00EF53E3"/>
    <w:rsid w:val="00EF5629"/>
    <w:rsid w:val="00EF5653"/>
    <w:rsid w:val="00EF5B3A"/>
    <w:rsid w:val="00EF5EBC"/>
    <w:rsid w:val="00EF626C"/>
    <w:rsid w:val="00EF64A2"/>
    <w:rsid w:val="00EF6DEA"/>
    <w:rsid w:val="00EF6F44"/>
    <w:rsid w:val="00EF751F"/>
    <w:rsid w:val="00EF79BF"/>
    <w:rsid w:val="00EF7C75"/>
    <w:rsid w:val="00F000A5"/>
    <w:rsid w:val="00F00275"/>
    <w:rsid w:val="00F0036F"/>
    <w:rsid w:val="00F009BF"/>
    <w:rsid w:val="00F00DB2"/>
    <w:rsid w:val="00F011F9"/>
    <w:rsid w:val="00F01430"/>
    <w:rsid w:val="00F016C3"/>
    <w:rsid w:val="00F01AE1"/>
    <w:rsid w:val="00F01CAF"/>
    <w:rsid w:val="00F02433"/>
    <w:rsid w:val="00F024A5"/>
    <w:rsid w:val="00F02651"/>
    <w:rsid w:val="00F02AE8"/>
    <w:rsid w:val="00F02B57"/>
    <w:rsid w:val="00F02CAA"/>
    <w:rsid w:val="00F02F67"/>
    <w:rsid w:val="00F03208"/>
    <w:rsid w:val="00F0349F"/>
    <w:rsid w:val="00F034AA"/>
    <w:rsid w:val="00F03854"/>
    <w:rsid w:val="00F03A95"/>
    <w:rsid w:val="00F03BEC"/>
    <w:rsid w:val="00F03D1E"/>
    <w:rsid w:val="00F03E2D"/>
    <w:rsid w:val="00F03EE3"/>
    <w:rsid w:val="00F03F71"/>
    <w:rsid w:val="00F03FE5"/>
    <w:rsid w:val="00F04531"/>
    <w:rsid w:val="00F04775"/>
    <w:rsid w:val="00F0482E"/>
    <w:rsid w:val="00F04939"/>
    <w:rsid w:val="00F049A2"/>
    <w:rsid w:val="00F04AC4"/>
    <w:rsid w:val="00F04D67"/>
    <w:rsid w:val="00F05314"/>
    <w:rsid w:val="00F05A92"/>
    <w:rsid w:val="00F05AC0"/>
    <w:rsid w:val="00F05E1A"/>
    <w:rsid w:val="00F06519"/>
    <w:rsid w:val="00F067D0"/>
    <w:rsid w:val="00F06836"/>
    <w:rsid w:val="00F06A88"/>
    <w:rsid w:val="00F06C4B"/>
    <w:rsid w:val="00F06C4D"/>
    <w:rsid w:val="00F06F8D"/>
    <w:rsid w:val="00F07233"/>
    <w:rsid w:val="00F079D2"/>
    <w:rsid w:val="00F07B05"/>
    <w:rsid w:val="00F07BA8"/>
    <w:rsid w:val="00F07DD1"/>
    <w:rsid w:val="00F10043"/>
    <w:rsid w:val="00F101EE"/>
    <w:rsid w:val="00F1024B"/>
    <w:rsid w:val="00F10381"/>
    <w:rsid w:val="00F1052B"/>
    <w:rsid w:val="00F10EC7"/>
    <w:rsid w:val="00F1140B"/>
    <w:rsid w:val="00F118E0"/>
    <w:rsid w:val="00F1193F"/>
    <w:rsid w:val="00F11A3E"/>
    <w:rsid w:val="00F11ACB"/>
    <w:rsid w:val="00F11BDA"/>
    <w:rsid w:val="00F11DBE"/>
    <w:rsid w:val="00F1206A"/>
    <w:rsid w:val="00F12511"/>
    <w:rsid w:val="00F125CE"/>
    <w:rsid w:val="00F12B4A"/>
    <w:rsid w:val="00F12E5B"/>
    <w:rsid w:val="00F12F00"/>
    <w:rsid w:val="00F131FB"/>
    <w:rsid w:val="00F1322C"/>
    <w:rsid w:val="00F132E1"/>
    <w:rsid w:val="00F133AE"/>
    <w:rsid w:val="00F13478"/>
    <w:rsid w:val="00F13655"/>
    <w:rsid w:val="00F13875"/>
    <w:rsid w:val="00F138BB"/>
    <w:rsid w:val="00F1395B"/>
    <w:rsid w:val="00F13A21"/>
    <w:rsid w:val="00F13A98"/>
    <w:rsid w:val="00F13AB9"/>
    <w:rsid w:val="00F13D22"/>
    <w:rsid w:val="00F1447D"/>
    <w:rsid w:val="00F1484D"/>
    <w:rsid w:val="00F15024"/>
    <w:rsid w:val="00F15520"/>
    <w:rsid w:val="00F15650"/>
    <w:rsid w:val="00F1589C"/>
    <w:rsid w:val="00F15AE3"/>
    <w:rsid w:val="00F160B2"/>
    <w:rsid w:val="00F16139"/>
    <w:rsid w:val="00F16237"/>
    <w:rsid w:val="00F162F7"/>
    <w:rsid w:val="00F164C9"/>
    <w:rsid w:val="00F164D7"/>
    <w:rsid w:val="00F16515"/>
    <w:rsid w:val="00F16640"/>
    <w:rsid w:val="00F16A30"/>
    <w:rsid w:val="00F16C41"/>
    <w:rsid w:val="00F16CD3"/>
    <w:rsid w:val="00F16E44"/>
    <w:rsid w:val="00F16FC2"/>
    <w:rsid w:val="00F17695"/>
    <w:rsid w:val="00F17A1B"/>
    <w:rsid w:val="00F17BA3"/>
    <w:rsid w:val="00F17DDE"/>
    <w:rsid w:val="00F200B5"/>
    <w:rsid w:val="00F20172"/>
    <w:rsid w:val="00F2028D"/>
    <w:rsid w:val="00F2038D"/>
    <w:rsid w:val="00F2039F"/>
    <w:rsid w:val="00F2080E"/>
    <w:rsid w:val="00F2102B"/>
    <w:rsid w:val="00F2119E"/>
    <w:rsid w:val="00F2162A"/>
    <w:rsid w:val="00F2189B"/>
    <w:rsid w:val="00F21B58"/>
    <w:rsid w:val="00F2259E"/>
    <w:rsid w:val="00F22A3A"/>
    <w:rsid w:val="00F22D54"/>
    <w:rsid w:val="00F230C4"/>
    <w:rsid w:val="00F23303"/>
    <w:rsid w:val="00F233AC"/>
    <w:rsid w:val="00F233DF"/>
    <w:rsid w:val="00F23401"/>
    <w:rsid w:val="00F23600"/>
    <w:rsid w:val="00F2369F"/>
    <w:rsid w:val="00F23E15"/>
    <w:rsid w:val="00F24A4C"/>
    <w:rsid w:val="00F24D16"/>
    <w:rsid w:val="00F24F5E"/>
    <w:rsid w:val="00F25009"/>
    <w:rsid w:val="00F252C9"/>
    <w:rsid w:val="00F253FE"/>
    <w:rsid w:val="00F25583"/>
    <w:rsid w:val="00F25914"/>
    <w:rsid w:val="00F25A2B"/>
    <w:rsid w:val="00F25FDB"/>
    <w:rsid w:val="00F26546"/>
    <w:rsid w:val="00F26628"/>
    <w:rsid w:val="00F268BC"/>
    <w:rsid w:val="00F26C22"/>
    <w:rsid w:val="00F26C77"/>
    <w:rsid w:val="00F270AC"/>
    <w:rsid w:val="00F27417"/>
    <w:rsid w:val="00F27465"/>
    <w:rsid w:val="00F275D4"/>
    <w:rsid w:val="00F27BBE"/>
    <w:rsid w:val="00F27C80"/>
    <w:rsid w:val="00F27CF2"/>
    <w:rsid w:val="00F27F3E"/>
    <w:rsid w:val="00F30218"/>
    <w:rsid w:val="00F305A6"/>
    <w:rsid w:val="00F305A9"/>
    <w:rsid w:val="00F30BED"/>
    <w:rsid w:val="00F30D11"/>
    <w:rsid w:val="00F30F6E"/>
    <w:rsid w:val="00F31292"/>
    <w:rsid w:val="00F3155E"/>
    <w:rsid w:val="00F31B22"/>
    <w:rsid w:val="00F32747"/>
    <w:rsid w:val="00F32B0F"/>
    <w:rsid w:val="00F32F89"/>
    <w:rsid w:val="00F3319F"/>
    <w:rsid w:val="00F331FA"/>
    <w:rsid w:val="00F333E2"/>
    <w:rsid w:val="00F3340E"/>
    <w:rsid w:val="00F336FA"/>
    <w:rsid w:val="00F339E9"/>
    <w:rsid w:val="00F33A63"/>
    <w:rsid w:val="00F33B03"/>
    <w:rsid w:val="00F33B1C"/>
    <w:rsid w:val="00F342A1"/>
    <w:rsid w:val="00F343CD"/>
    <w:rsid w:val="00F34486"/>
    <w:rsid w:val="00F344AF"/>
    <w:rsid w:val="00F345C1"/>
    <w:rsid w:val="00F34CFD"/>
    <w:rsid w:val="00F3519C"/>
    <w:rsid w:val="00F35551"/>
    <w:rsid w:val="00F3559E"/>
    <w:rsid w:val="00F35655"/>
    <w:rsid w:val="00F35A23"/>
    <w:rsid w:val="00F35BF7"/>
    <w:rsid w:val="00F36131"/>
    <w:rsid w:val="00F365CD"/>
    <w:rsid w:val="00F36C15"/>
    <w:rsid w:val="00F36CAF"/>
    <w:rsid w:val="00F36D66"/>
    <w:rsid w:val="00F36DD0"/>
    <w:rsid w:val="00F37107"/>
    <w:rsid w:val="00F371D9"/>
    <w:rsid w:val="00F37390"/>
    <w:rsid w:val="00F37461"/>
    <w:rsid w:val="00F37473"/>
    <w:rsid w:val="00F378FB"/>
    <w:rsid w:val="00F37D29"/>
    <w:rsid w:val="00F40012"/>
    <w:rsid w:val="00F40033"/>
    <w:rsid w:val="00F400DA"/>
    <w:rsid w:val="00F404E8"/>
    <w:rsid w:val="00F40620"/>
    <w:rsid w:val="00F406E8"/>
    <w:rsid w:val="00F40880"/>
    <w:rsid w:val="00F40A21"/>
    <w:rsid w:val="00F40BB7"/>
    <w:rsid w:val="00F40C52"/>
    <w:rsid w:val="00F40C6E"/>
    <w:rsid w:val="00F41140"/>
    <w:rsid w:val="00F411D1"/>
    <w:rsid w:val="00F416A4"/>
    <w:rsid w:val="00F41B34"/>
    <w:rsid w:val="00F41C29"/>
    <w:rsid w:val="00F41CD2"/>
    <w:rsid w:val="00F420A9"/>
    <w:rsid w:val="00F42ABF"/>
    <w:rsid w:val="00F42B68"/>
    <w:rsid w:val="00F42ECF"/>
    <w:rsid w:val="00F42F4F"/>
    <w:rsid w:val="00F43005"/>
    <w:rsid w:val="00F432F4"/>
    <w:rsid w:val="00F4359B"/>
    <w:rsid w:val="00F4382E"/>
    <w:rsid w:val="00F4388F"/>
    <w:rsid w:val="00F440ED"/>
    <w:rsid w:val="00F442DF"/>
    <w:rsid w:val="00F443D3"/>
    <w:rsid w:val="00F44411"/>
    <w:rsid w:val="00F44699"/>
    <w:rsid w:val="00F44A58"/>
    <w:rsid w:val="00F44CA4"/>
    <w:rsid w:val="00F44E3D"/>
    <w:rsid w:val="00F44F45"/>
    <w:rsid w:val="00F44FE5"/>
    <w:rsid w:val="00F4518A"/>
    <w:rsid w:val="00F45354"/>
    <w:rsid w:val="00F45412"/>
    <w:rsid w:val="00F4546F"/>
    <w:rsid w:val="00F45691"/>
    <w:rsid w:val="00F46098"/>
    <w:rsid w:val="00F4697E"/>
    <w:rsid w:val="00F46E2B"/>
    <w:rsid w:val="00F471D4"/>
    <w:rsid w:val="00F47291"/>
    <w:rsid w:val="00F472E9"/>
    <w:rsid w:val="00F50047"/>
    <w:rsid w:val="00F50188"/>
    <w:rsid w:val="00F50320"/>
    <w:rsid w:val="00F50D52"/>
    <w:rsid w:val="00F51369"/>
    <w:rsid w:val="00F51489"/>
    <w:rsid w:val="00F51521"/>
    <w:rsid w:val="00F5156E"/>
    <w:rsid w:val="00F5169D"/>
    <w:rsid w:val="00F51B5D"/>
    <w:rsid w:val="00F51BEE"/>
    <w:rsid w:val="00F51DE8"/>
    <w:rsid w:val="00F520E6"/>
    <w:rsid w:val="00F52140"/>
    <w:rsid w:val="00F52582"/>
    <w:rsid w:val="00F52CDA"/>
    <w:rsid w:val="00F52E9D"/>
    <w:rsid w:val="00F52FE3"/>
    <w:rsid w:val="00F53081"/>
    <w:rsid w:val="00F530B2"/>
    <w:rsid w:val="00F53294"/>
    <w:rsid w:val="00F5366F"/>
    <w:rsid w:val="00F537B4"/>
    <w:rsid w:val="00F53925"/>
    <w:rsid w:val="00F5399F"/>
    <w:rsid w:val="00F53E8A"/>
    <w:rsid w:val="00F53FCB"/>
    <w:rsid w:val="00F54319"/>
    <w:rsid w:val="00F5483B"/>
    <w:rsid w:val="00F54C84"/>
    <w:rsid w:val="00F55005"/>
    <w:rsid w:val="00F55525"/>
    <w:rsid w:val="00F55EE8"/>
    <w:rsid w:val="00F56095"/>
    <w:rsid w:val="00F565F9"/>
    <w:rsid w:val="00F56BA0"/>
    <w:rsid w:val="00F56D3A"/>
    <w:rsid w:val="00F56F10"/>
    <w:rsid w:val="00F56F1D"/>
    <w:rsid w:val="00F5763E"/>
    <w:rsid w:val="00F57A9D"/>
    <w:rsid w:val="00F57AA9"/>
    <w:rsid w:val="00F57B30"/>
    <w:rsid w:val="00F57C8D"/>
    <w:rsid w:val="00F57EC4"/>
    <w:rsid w:val="00F60655"/>
    <w:rsid w:val="00F60974"/>
    <w:rsid w:val="00F60C94"/>
    <w:rsid w:val="00F60D69"/>
    <w:rsid w:val="00F610DD"/>
    <w:rsid w:val="00F613F8"/>
    <w:rsid w:val="00F61799"/>
    <w:rsid w:val="00F61966"/>
    <w:rsid w:val="00F61C21"/>
    <w:rsid w:val="00F61DA0"/>
    <w:rsid w:val="00F61F5D"/>
    <w:rsid w:val="00F62774"/>
    <w:rsid w:val="00F63250"/>
    <w:rsid w:val="00F6342A"/>
    <w:rsid w:val="00F63A7A"/>
    <w:rsid w:val="00F63B62"/>
    <w:rsid w:val="00F63BA4"/>
    <w:rsid w:val="00F63FD4"/>
    <w:rsid w:val="00F6433D"/>
    <w:rsid w:val="00F64607"/>
    <w:rsid w:val="00F64840"/>
    <w:rsid w:val="00F6486A"/>
    <w:rsid w:val="00F64896"/>
    <w:rsid w:val="00F64DA1"/>
    <w:rsid w:val="00F64FE6"/>
    <w:rsid w:val="00F65570"/>
    <w:rsid w:val="00F657EF"/>
    <w:rsid w:val="00F65815"/>
    <w:rsid w:val="00F65A20"/>
    <w:rsid w:val="00F65E86"/>
    <w:rsid w:val="00F65FCC"/>
    <w:rsid w:val="00F65FF0"/>
    <w:rsid w:val="00F6612B"/>
    <w:rsid w:val="00F663D4"/>
    <w:rsid w:val="00F66745"/>
    <w:rsid w:val="00F66EA6"/>
    <w:rsid w:val="00F66FC6"/>
    <w:rsid w:val="00F66FFD"/>
    <w:rsid w:val="00F67693"/>
    <w:rsid w:val="00F6775B"/>
    <w:rsid w:val="00F6798C"/>
    <w:rsid w:val="00F67C67"/>
    <w:rsid w:val="00F67E28"/>
    <w:rsid w:val="00F7021D"/>
    <w:rsid w:val="00F70817"/>
    <w:rsid w:val="00F70A9D"/>
    <w:rsid w:val="00F70CE8"/>
    <w:rsid w:val="00F712A7"/>
    <w:rsid w:val="00F71356"/>
    <w:rsid w:val="00F71383"/>
    <w:rsid w:val="00F714D2"/>
    <w:rsid w:val="00F71766"/>
    <w:rsid w:val="00F71D33"/>
    <w:rsid w:val="00F722EC"/>
    <w:rsid w:val="00F7244A"/>
    <w:rsid w:val="00F73170"/>
    <w:rsid w:val="00F73197"/>
    <w:rsid w:val="00F73211"/>
    <w:rsid w:val="00F7358D"/>
    <w:rsid w:val="00F74199"/>
    <w:rsid w:val="00F742DE"/>
    <w:rsid w:val="00F749DE"/>
    <w:rsid w:val="00F74B54"/>
    <w:rsid w:val="00F74F73"/>
    <w:rsid w:val="00F751C3"/>
    <w:rsid w:val="00F7553F"/>
    <w:rsid w:val="00F75808"/>
    <w:rsid w:val="00F75846"/>
    <w:rsid w:val="00F75934"/>
    <w:rsid w:val="00F75ACB"/>
    <w:rsid w:val="00F75D88"/>
    <w:rsid w:val="00F76019"/>
    <w:rsid w:val="00F760E4"/>
    <w:rsid w:val="00F768E1"/>
    <w:rsid w:val="00F76A08"/>
    <w:rsid w:val="00F76EEC"/>
    <w:rsid w:val="00F771E9"/>
    <w:rsid w:val="00F77726"/>
    <w:rsid w:val="00F77B1E"/>
    <w:rsid w:val="00F77BA3"/>
    <w:rsid w:val="00F8071A"/>
    <w:rsid w:val="00F80763"/>
    <w:rsid w:val="00F80BA9"/>
    <w:rsid w:val="00F80C0C"/>
    <w:rsid w:val="00F80EE6"/>
    <w:rsid w:val="00F81815"/>
    <w:rsid w:val="00F81A45"/>
    <w:rsid w:val="00F81D19"/>
    <w:rsid w:val="00F81D33"/>
    <w:rsid w:val="00F81FD5"/>
    <w:rsid w:val="00F8240B"/>
    <w:rsid w:val="00F82470"/>
    <w:rsid w:val="00F82719"/>
    <w:rsid w:val="00F828B5"/>
    <w:rsid w:val="00F82B92"/>
    <w:rsid w:val="00F82DA9"/>
    <w:rsid w:val="00F83327"/>
    <w:rsid w:val="00F837EB"/>
    <w:rsid w:val="00F838D4"/>
    <w:rsid w:val="00F83E50"/>
    <w:rsid w:val="00F840D7"/>
    <w:rsid w:val="00F8445D"/>
    <w:rsid w:val="00F84757"/>
    <w:rsid w:val="00F84A65"/>
    <w:rsid w:val="00F84A74"/>
    <w:rsid w:val="00F84ADB"/>
    <w:rsid w:val="00F84B84"/>
    <w:rsid w:val="00F850A8"/>
    <w:rsid w:val="00F85554"/>
    <w:rsid w:val="00F8574A"/>
    <w:rsid w:val="00F85B49"/>
    <w:rsid w:val="00F85BFB"/>
    <w:rsid w:val="00F85CDE"/>
    <w:rsid w:val="00F86574"/>
    <w:rsid w:val="00F866BB"/>
    <w:rsid w:val="00F8692E"/>
    <w:rsid w:val="00F86A37"/>
    <w:rsid w:val="00F86AEF"/>
    <w:rsid w:val="00F86FE5"/>
    <w:rsid w:val="00F87589"/>
    <w:rsid w:val="00F87A4C"/>
    <w:rsid w:val="00F87CE8"/>
    <w:rsid w:val="00F87D30"/>
    <w:rsid w:val="00F87DEB"/>
    <w:rsid w:val="00F87FF7"/>
    <w:rsid w:val="00F9003E"/>
    <w:rsid w:val="00F9052D"/>
    <w:rsid w:val="00F90A1F"/>
    <w:rsid w:val="00F90B60"/>
    <w:rsid w:val="00F90DC3"/>
    <w:rsid w:val="00F9101D"/>
    <w:rsid w:val="00F91470"/>
    <w:rsid w:val="00F914A9"/>
    <w:rsid w:val="00F9157B"/>
    <w:rsid w:val="00F91857"/>
    <w:rsid w:val="00F91AF8"/>
    <w:rsid w:val="00F91C22"/>
    <w:rsid w:val="00F91CFD"/>
    <w:rsid w:val="00F91D09"/>
    <w:rsid w:val="00F91F34"/>
    <w:rsid w:val="00F91F48"/>
    <w:rsid w:val="00F9204C"/>
    <w:rsid w:val="00F92290"/>
    <w:rsid w:val="00F92423"/>
    <w:rsid w:val="00F925AF"/>
    <w:rsid w:val="00F92C43"/>
    <w:rsid w:val="00F93214"/>
    <w:rsid w:val="00F940C7"/>
    <w:rsid w:val="00F941BB"/>
    <w:rsid w:val="00F94731"/>
    <w:rsid w:val="00F9473A"/>
    <w:rsid w:val="00F94D23"/>
    <w:rsid w:val="00F95269"/>
    <w:rsid w:val="00F9526B"/>
    <w:rsid w:val="00F952D7"/>
    <w:rsid w:val="00F954E5"/>
    <w:rsid w:val="00F95772"/>
    <w:rsid w:val="00F95816"/>
    <w:rsid w:val="00F958E6"/>
    <w:rsid w:val="00F95AFA"/>
    <w:rsid w:val="00F95D8B"/>
    <w:rsid w:val="00F95DAC"/>
    <w:rsid w:val="00F95F7D"/>
    <w:rsid w:val="00F962CD"/>
    <w:rsid w:val="00F966D3"/>
    <w:rsid w:val="00F96AA8"/>
    <w:rsid w:val="00F96ACA"/>
    <w:rsid w:val="00F97068"/>
    <w:rsid w:val="00F972D2"/>
    <w:rsid w:val="00F97375"/>
    <w:rsid w:val="00F9744E"/>
    <w:rsid w:val="00F978C9"/>
    <w:rsid w:val="00F978CF"/>
    <w:rsid w:val="00F97E30"/>
    <w:rsid w:val="00F97E6F"/>
    <w:rsid w:val="00FA01F0"/>
    <w:rsid w:val="00FA0326"/>
    <w:rsid w:val="00FA03E4"/>
    <w:rsid w:val="00FA0571"/>
    <w:rsid w:val="00FA05C8"/>
    <w:rsid w:val="00FA05D0"/>
    <w:rsid w:val="00FA0A91"/>
    <w:rsid w:val="00FA0BB0"/>
    <w:rsid w:val="00FA0CC4"/>
    <w:rsid w:val="00FA1883"/>
    <w:rsid w:val="00FA1BBD"/>
    <w:rsid w:val="00FA1C71"/>
    <w:rsid w:val="00FA1EE2"/>
    <w:rsid w:val="00FA1EFA"/>
    <w:rsid w:val="00FA2212"/>
    <w:rsid w:val="00FA24B6"/>
    <w:rsid w:val="00FA2BEC"/>
    <w:rsid w:val="00FA3064"/>
    <w:rsid w:val="00FA368B"/>
    <w:rsid w:val="00FA3B70"/>
    <w:rsid w:val="00FA3B99"/>
    <w:rsid w:val="00FA3D51"/>
    <w:rsid w:val="00FA3F87"/>
    <w:rsid w:val="00FA3F8F"/>
    <w:rsid w:val="00FA45C9"/>
    <w:rsid w:val="00FA47E6"/>
    <w:rsid w:val="00FA4AAA"/>
    <w:rsid w:val="00FA4C0E"/>
    <w:rsid w:val="00FA4F8F"/>
    <w:rsid w:val="00FA4FA1"/>
    <w:rsid w:val="00FA524A"/>
    <w:rsid w:val="00FA52E6"/>
    <w:rsid w:val="00FA549F"/>
    <w:rsid w:val="00FA58DC"/>
    <w:rsid w:val="00FA5C2D"/>
    <w:rsid w:val="00FA5F75"/>
    <w:rsid w:val="00FA5FA4"/>
    <w:rsid w:val="00FA6555"/>
    <w:rsid w:val="00FA67F4"/>
    <w:rsid w:val="00FA686F"/>
    <w:rsid w:val="00FA69B7"/>
    <w:rsid w:val="00FA73A8"/>
    <w:rsid w:val="00FA7939"/>
    <w:rsid w:val="00FA7980"/>
    <w:rsid w:val="00FA7983"/>
    <w:rsid w:val="00FA7A2D"/>
    <w:rsid w:val="00FA7A70"/>
    <w:rsid w:val="00FA7BA1"/>
    <w:rsid w:val="00FB004B"/>
    <w:rsid w:val="00FB024D"/>
    <w:rsid w:val="00FB077F"/>
    <w:rsid w:val="00FB103F"/>
    <w:rsid w:val="00FB140B"/>
    <w:rsid w:val="00FB16D0"/>
    <w:rsid w:val="00FB1BDE"/>
    <w:rsid w:val="00FB1D0F"/>
    <w:rsid w:val="00FB1D48"/>
    <w:rsid w:val="00FB266C"/>
    <w:rsid w:val="00FB2A4C"/>
    <w:rsid w:val="00FB2A7F"/>
    <w:rsid w:val="00FB2C2C"/>
    <w:rsid w:val="00FB3636"/>
    <w:rsid w:val="00FB3674"/>
    <w:rsid w:val="00FB3746"/>
    <w:rsid w:val="00FB3A85"/>
    <w:rsid w:val="00FB3B14"/>
    <w:rsid w:val="00FB3C57"/>
    <w:rsid w:val="00FB3C5B"/>
    <w:rsid w:val="00FB3CFA"/>
    <w:rsid w:val="00FB40B8"/>
    <w:rsid w:val="00FB426B"/>
    <w:rsid w:val="00FB45A2"/>
    <w:rsid w:val="00FB4CBA"/>
    <w:rsid w:val="00FB4CD2"/>
    <w:rsid w:val="00FB551B"/>
    <w:rsid w:val="00FB559D"/>
    <w:rsid w:val="00FB5689"/>
    <w:rsid w:val="00FB5769"/>
    <w:rsid w:val="00FB57D6"/>
    <w:rsid w:val="00FB5806"/>
    <w:rsid w:val="00FB5839"/>
    <w:rsid w:val="00FB58A1"/>
    <w:rsid w:val="00FB5BC5"/>
    <w:rsid w:val="00FB5E4D"/>
    <w:rsid w:val="00FB5EBD"/>
    <w:rsid w:val="00FB61C6"/>
    <w:rsid w:val="00FB64AE"/>
    <w:rsid w:val="00FB6969"/>
    <w:rsid w:val="00FB711F"/>
    <w:rsid w:val="00FB7120"/>
    <w:rsid w:val="00FB7172"/>
    <w:rsid w:val="00FB7182"/>
    <w:rsid w:val="00FB73A0"/>
    <w:rsid w:val="00FB77DA"/>
    <w:rsid w:val="00FB7899"/>
    <w:rsid w:val="00FB7D24"/>
    <w:rsid w:val="00FB7F06"/>
    <w:rsid w:val="00FC0299"/>
    <w:rsid w:val="00FC0909"/>
    <w:rsid w:val="00FC0972"/>
    <w:rsid w:val="00FC0D68"/>
    <w:rsid w:val="00FC100C"/>
    <w:rsid w:val="00FC1770"/>
    <w:rsid w:val="00FC1ECF"/>
    <w:rsid w:val="00FC2030"/>
    <w:rsid w:val="00FC2614"/>
    <w:rsid w:val="00FC2E1A"/>
    <w:rsid w:val="00FC2F08"/>
    <w:rsid w:val="00FC2FD0"/>
    <w:rsid w:val="00FC314F"/>
    <w:rsid w:val="00FC3374"/>
    <w:rsid w:val="00FC3A8A"/>
    <w:rsid w:val="00FC3ADE"/>
    <w:rsid w:val="00FC3D45"/>
    <w:rsid w:val="00FC3E07"/>
    <w:rsid w:val="00FC4349"/>
    <w:rsid w:val="00FC4659"/>
    <w:rsid w:val="00FC4668"/>
    <w:rsid w:val="00FC46AE"/>
    <w:rsid w:val="00FC4733"/>
    <w:rsid w:val="00FC4C0D"/>
    <w:rsid w:val="00FC4E98"/>
    <w:rsid w:val="00FC58C9"/>
    <w:rsid w:val="00FC5EF6"/>
    <w:rsid w:val="00FC61FD"/>
    <w:rsid w:val="00FC6269"/>
    <w:rsid w:val="00FC6D44"/>
    <w:rsid w:val="00FC6FED"/>
    <w:rsid w:val="00FC6FF2"/>
    <w:rsid w:val="00FC7097"/>
    <w:rsid w:val="00FC72F2"/>
    <w:rsid w:val="00FC77A9"/>
    <w:rsid w:val="00FC7E19"/>
    <w:rsid w:val="00FD0014"/>
    <w:rsid w:val="00FD06F0"/>
    <w:rsid w:val="00FD0968"/>
    <w:rsid w:val="00FD0D49"/>
    <w:rsid w:val="00FD101D"/>
    <w:rsid w:val="00FD11C2"/>
    <w:rsid w:val="00FD12EA"/>
    <w:rsid w:val="00FD14A8"/>
    <w:rsid w:val="00FD166F"/>
    <w:rsid w:val="00FD19AC"/>
    <w:rsid w:val="00FD1E44"/>
    <w:rsid w:val="00FD1F6E"/>
    <w:rsid w:val="00FD1F8B"/>
    <w:rsid w:val="00FD24A1"/>
    <w:rsid w:val="00FD2728"/>
    <w:rsid w:val="00FD2F04"/>
    <w:rsid w:val="00FD3460"/>
    <w:rsid w:val="00FD3D8B"/>
    <w:rsid w:val="00FD4013"/>
    <w:rsid w:val="00FD45AA"/>
    <w:rsid w:val="00FD470D"/>
    <w:rsid w:val="00FD4766"/>
    <w:rsid w:val="00FD4A62"/>
    <w:rsid w:val="00FD4B58"/>
    <w:rsid w:val="00FD51D3"/>
    <w:rsid w:val="00FD545E"/>
    <w:rsid w:val="00FD57E6"/>
    <w:rsid w:val="00FD5B4F"/>
    <w:rsid w:val="00FD5D4C"/>
    <w:rsid w:val="00FD6030"/>
    <w:rsid w:val="00FD6113"/>
    <w:rsid w:val="00FD6159"/>
    <w:rsid w:val="00FD619B"/>
    <w:rsid w:val="00FD627D"/>
    <w:rsid w:val="00FD637C"/>
    <w:rsid w:val="00FD64B3"/>
    <w:rsid w:val="00FD64B8"/>
    <w:rsid w:val="00FD6660"/>
    <w:rsid w:val="00FD674E"/>
    <w:rsid w:val="00FD6795"/>
    <w:rsid w:val="00FD6A65"/>
    <w:rsid w:val="00FD6B64"/>
    <w:rsid w:val="00FD6B6A"/>
    <w:rsid w:val="00FD6CF4"/>
    <w:rsid w:val="00FD6E14"/>
    <w:rsid w:val="00FD6EB5"/>
    <w:rsid w:val="00FD6EC5"/>
    <w:rsid w:val="00FD6FDC"/>
    <w:rsid w:val="00FD7342"/>
    <w:rsid w:val="00FD7522"/>
    <w:rsid w:val="00FD771A"/>
    <w:rsid w:val="00FD7F8D"/>
    <w:rsid w:val="00FE026F"/>
    <w:rsid w:val="00FE0714"/>
    <w:rsid w:val="00FE0AB5"/>
    <w:rsid w:val="00FE0C1A"/>
    <w:rsid w:val="00FE0CC0"/>
    <w:rsid w:val="00FE0E14"/>
    <w:rsid w:val="00FE1099"/>
    <w:rsid w:val="00FE1189"/>
    <w:rsid w:val="00FE1218"/>
    <w:rsid w:val="00FE158E"/>
    <w:rsid w:val="00FE17A5"/>
    <w:rsid w:val="00FE1A90"/>
    <w:rsid w:val="00FE215E"/>
    <w:rsid w:val="00FE2282"/>
    <w:rsid w:val="00FE2872"/>
    <w:rsid w:val="00FE2CAB"/>
    <w:rsid w:val="00FE30C5"/>
    <w:rsid w:val="00FE35BE"/>
    <w:rsid w:val="00FE3A54"/>
    <w:rsid w:val="00FE3E0E"/>
    <w:rsid w:val="00FE3E9E"/>
    <w:rsid w:val="00FE421F"/>
    <w:rsid w:val="00FE42BD"/>
    <w:rsid w:val="00FE4C79"/>
    <w:rsid w:val="00FE4F61"/>
    <w:rsid w:val="00FE5833"/>
    <w:rsid w:val="00FE5858"/>
    <w:rsid w:val="00FE66C7"/>
    <w:rsid w:val="00FE6747"/>
    <w:rsid w:val="00FE6850"/>
    <w:rsid w:val="00FE6B9E"/>
    <w:rsid w:val="00FE6D72"/>
    <w:rsid w:val="00FE6E38"/>
    <w:rsid w:val="00FE6F34"/>
    <w:rsid w:val="00FE7397"/>
    <w:rsid w:val="00FE75C8"/>
    <w:rsid w:val="00FE76B8"/>
    <w:rsid w:val="00FE77B6"/>
    <w:rsid w:val="00FE794E"/>
    <w:rsid w:val="00FE794F"/>
    <w:rsid w:val="00FE7ADB"/>
    <w:rsid w:val="00FE7C56"/>
    <w:rsid w:val="00FF0707"/>
    <w:rsid w:val="00FF0889"/>
    <w:rsid w:val="00FF0BCE"/>
    <w:rsid w:val="00FF1511"/>
    <w:rsid w:val="00FF17F2"/>
    <w:rsid w:val="00FF1932"/>
    <w:rsid w:val="00FF1E47"/>
    <w:rsid w:val="00FF2148"/>
    <w:rsid w:val="00FF21F8"/>
    <w:rsid w:val="00FF232A"/>
    <w:rsid w:val="00FF2406"/>
    <w:rsid w:val="00FF25DF"/>
    <w:rsid w:val="00FF2989"/>
    <w:rsid w:val="00FF2B1D"/>
    <w:rsid w:val="00FF2BCE"/>
    <w:rsid w:val="00FF2D99"/>
    <w:rsid w:val="00FF3270"/>
    <w:rsid w:val="00FF3386"/>
    <w:rsid w:val="00FF36F3"/>
    <w:rsid w:val="00FF38ED"/>
    <w:rsid w:val="00FF3D3B"/>
    <w:rsid w:val="00FF3D87"/>
    <w:rsid w:val="00FF3F1E"/>
    <w:rsid w:val="00FF4226"/>
    <w:rsid w:val="00FF42F4"/>
    <w:rsid w:val="00FF4333"/>
    <w:rsid w:val="00FF4525"/>
    <w:rsid w:val="00FF4699"/>
    <w:rsid w:val="00FF4862"/>
    <w:rsid w:val="00FF4928"/>
    <w:rsid w:val="00FF4DFA"/>
    <w:rsid w:val="00FF51EE"/>
    <w:rsid w:val="00FF5509"/>
    <w:rsid w:val="00FF55E4"/>
    <w:rsid w:val="00FF585E"/>
    <w:rsid w:val="00FF5A06"/>
    <w:rsid w:val="00FF5A51"/>
    <w:rsid w:val="00FF5C85"/>
    <w:rsid w:val="00FF5E52"/>
    <w:rsid w:val="00FF5E57"/>
    <w:rsid w:val="00FF5F74"/>
    <w:rsid w:val="00FF6821"/>
    <w:rsid w:val="00FF7350"/>
    <w:rsid w:val="00FF7507"/>
    <w:rsid w:val="00FF7573"/>
    <w:rsid w:val="00FF7659"/>
    <w:rsid w:val="00FF77EE"/>
    <w:rsid w:val="00FF7CBC"/>
    <w:rsid w:val="01D55A0F"/>
    <w:rsid w:val="06660C4F"/>
    <w:rsid w:val="0A696CA3"/>
    <w:rsid w:val="0D0F5C7C"/>
    <w:rsid w:val="0EAC0F21"/>
    <w:rsid w:val="0FC419ED"/>
    <w:rsid w:val="17AA6F37"/>
    <w:rsid w:val="17BE0504"/>
    <w:rsid w:val="1A400CBF"/>
    <w:rsid w:val="1C0F7519"/>
    <w:rsid w:val="1D86477C"/>
    <w:rsid w:val="1E205692"/>
    <w:rsid w:val="20E3678D"/>
    <w:rsid w:val="22811A2C"/>
    <w:rsid w:val="29A504DF"/>
    <w:rsid w:val="2C01033F"/>
    <w:rsid w:val="2D465125"/>
    <w:rsid w:val="2FF005B4"/>
    <w:rsid w:val="31FA1C8E"/>
    <w:rsid w:val="34C05919"/>
    <w:rsid w:val="35D21332"/>
    <w:rsid w:val="3A6A3C67"/>
    <w:rsid w:val="3D41598E"/>
    <w:rsid w:val="3E286B85"/>
    <w:rsid w:val="4852328C"/>
    <w:rsid w:val="4934502A"/>
    <w:rsid w:val="4AFE5B03"/>
    <w:rsid w:val="4F5F4E2B"/>
    <w:rsid w:val="58D16CDC"/>
    <w:rsid w:val="5A3A7F15"/>
    <w:rsid w:val="5FAE5B25"/>
    <w:rsid w:val="63852ED6"/>
    <w:rsid w:val="684B6937"/>
    <w:rsid w:val="6E4843FE"/>
    <w:rsid w:val="6F2936EC"/>
    <w:rsid w:val="6F2C0562"/>
    <w:rsid w:val="74492BB8"/>
    <w:rsid w:val="74D54F3C"/>
    <w:rsid w:val="755B2C17"/>
    <w:rsid w:val="75F37912"/>
    <w:rsid w:val="7BD97493"/>
    <w:rsid w:val="7D306F70"/>
  </w:rsids>
  <m:mathPr>
    <m:lMargin m:val="0"/>
    <m:mathFont m:val="Cambria Math"/>
    <m:rMargin m:val="0"/>
    <m:wrapIndent m:val="1440"/>
    <m:brkBin m:val="before"/>
    <m:brkBinSub m:val="--"/>
    <m:defJc m:val="centerGroup"/>
    <m:intLim m:val="subSup"/>
    <m:naryLim m:val="undOvr"/>
    <m:smallFrac m:val=""/>
    <m:dispDef/>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unhideWhenUsed="0" w:uiPriority="0" w:semiHidden="0" w:name="Normal"/>
    <w:lsdException w:unhideWhenUsed="0" w:uiPriority="0" w:semiHidden="0" w:name="heading 1"/>
    <w:lsdException w:qFormat="1" w:unhideWhenUsed="0" w:uiPriority="99" w:semiHidden="0" w:name="heading 2"/>
    <w:lsdException w:qFormat="1" w:unhideWhenUsed="0" w:uiPriority="99" w:semiHidden="0" w:name="heading 3"/>
    <w:lsdException w:qFormat="1" w:unhideWhenUsed="0" w:uiPriority="0" w:semiHidden="0" w:name="heading 4"/>
    <w:lsdException w:qFormat="1" w:unhideWhenUsed="0" w:uiPriority="0" w:semiHidden="0" w:name="heading 5"/>
    <w:lsdException w:unhideWhenUsed="0" w:uiPriority="0" w:semiHidden="0" w:name="heading 6"/>
    <w:lsdException w:qFormat="1" w:unhideWhenUsed="0" w:uiPriority="0" w:semiHidden="0" w:name="heading 7"/>
    <w:lsdException w:uiPriority="9" w:name="heading 8"/>
    <w:lsdException w:qFormat="1" w:uiPriority="9"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unhideWhenUsed="0" w:uiPriority="39" w:semiHidden="0" w:name="toc 7"/>
    <w:lsdException w:qFormat="1" w:unhideWhenUsed="0" w:uiPriority="39" w:semiHidden="0" w:name="toc 8"/>
    <w:lsdException w:qFormat="1" w:unhideWhenUsed="0" w:uiPriority="39" w:semiHidden="0" w:name="toc 9"/>
    <w:lsdException w:unhideWhenUsed="0" w:uiPriority="0" w:semiHidden="0" w:name="Normal Indent"/>
    <w:lsdException w:qFormat="1"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nhideWhenUsed="0" w:uiPriority="0" w:semiHidden="0" w:name="caption"/>
    <w:lsdException w:uiPriority="0" w:name="table of figures"/>
    <w:lsdException w:uiPriority="0" w:name="envelope address"/>
    <w:lsdException w:uiPriority="0" w:name="envelope return"/>
    <w:lsdException w:qFormat="1" w:uiPriority="0" w:semiHidden="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iPriority="0" w:name="Salutation"/>
    <w:lsdException w:qFormat="1" w:unhideWhenUsed="0" w:uiPriority="0" w:semiHidden="0" w:name="Date"/>
    <w:lsdException w:qFormat="1" w:unhideWhenUsed="0" w:uiPriority="0" w:semiHidden="0" w:name="Body Text First Indent"/>
    <w:lsdException w:uiPriority="0" w:name="Body Text First Indent 2"/>
    <w:lsdException w:uiPriority="0" w:name="Note Heading"/>
    <w:lsdException w:qFormat="1" w:unhideWhenUsed="0" w:uiPriority="99" w:semiHidden="0" w:name="Body Text 2"/>
    <w:lsdException w:uiPriority="0" w:name="Body Text 3"/>
    <w:lsdException w:qFormat="1" w:unhideWhenUsed="0" w:uiPriority="0" w:semiHidden="0" w:name="Body Text Indent 2"/>
    <w:lsdException w:uiPriority="0" w:name="Body Text Indent 3"/>
    <w:lsdException w:qFormat="1" w:unhideWhenUsed="0" w:uiPriority="0" w:semiHidden="0" w:name="Block Text"/>
    <w:lsdException w:qFormat="1" w:unhideWhenUsed="0" w:uiPriority="99" w:semiHidden="0" w:name="Hyperlink"/>
    <w:lsdException w:uiPriority="0" w:name="FollowedHyperlink"/>
    <w:lsdException w:qFormat="1" w:unhideWhenUsed="0" w:uiPriority="22" w:semiHidden="0" w:name="Strong"/>
    <w:lsdException w:unhideWhenUsed="0" w:uiPriority="20" w:semiHidden="0" w:name="Emphasis"/>
    <w:lsdException w:qFormat="1" w:uiPriority="0" w:semiHidden="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semiHidden="0"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widowControl w:val="0"/>
      <w:spacing w:line="360" w:lineRule="auto"/>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88"/>
    <w:uiPriority w:val="0"/>
    <w:pPr>
      <w:keepNext/>
      <w:keepLines/>
      <w:spacing w:before="120" w:after="330" w:line="578" w:lineRule="auto"/>
      <w:outlineLvl w:val="0"/>
    </w:pPr>
    <w:rPr>
      <w:b/>
      <w:bCs/>
      <w:kern w:val="44"/>
      <w:sz w:val="44"/>
      <w:szCs w:val="44"/>
    </w:rPr>
  </w:style>
  <w:style w:type="paragraph" w:styleId="3">
    <w:name w:val="heading 2"/>
    <w:basedOn w:val="1"/>
    <w:next w:val="1"/>
    <w:link w:val="89"/>
    <w:qFormat/>
    <w:uiPriority w:val="99"/>
    <w:pPr>
      <w:keepNext/>
      <w:keepLines/>
      <w:spacing w:before="260" w:after="260" w:line="416" w:lineRule="auto"/>
      <w:outlineLvl w:val="1"/>
    </w:pPr>
    <w:rPr>
      <w:rFonts w:ascii="Cambria" w:hAnsi="Cambria"/>
      <w:b/>
      <w:bCs/>
      <w:sz w:val="32"/>
      <w:szCs w:val="32"/>
    </w:rPr>
  </w:style>
  <w:style w:type="paragraph" w:styleId="4">
    <w:name w:val="heading 3"/>
    <w:basedOn w:val="1"/>
    <w:next w:val="1"/>
    <w:link w:val="90"/>
    <w:qFormat/>
    <w:uiPriority w:val="99"/>
    <w:pPr>
      <w:keepNext/>
      <w:keepLines/>
      <w:spacing w:before="260" w:after="260" w:line="416" w:lineRule="auto"/>
      <w:outlineLvl w:val="2"/>
    </w:pPr>
    <w:rPr>
      <w:b/>
      <w:bCs/>
      <w:sz w:val="32"/>
      <w:szCs w:val="32"/>
    </w:rPr>
  </w:style>
  <w:style w:type="paragraph" w:styleId="5">
    <w:name w:val="heading 4"/>
    <w:basedOn w:val="1"/>
    <w:next w:val="1"/>
    <w:link w:val="105"/>
    <w:qFormat/>
    <w:uiPriority w:val="0"/>
    <w:pPr>
      <w:keepNext/>
      <w:outlineLvl w:val="3"/>
    </w:pPr>
    <w:rPr>
      <w:rFonts w:eastAsia="黑体"/>
      <w:szCs w:val="20"/>
    </w:rPr>
  </w:style>
  <w:style w:type="paragraph" w:styleId="6">
    <w:name w:val="heading 5"/>
    <w:basedOn w:val="1"/>
    <w:next w:val="1"/>
    <w:link w:val="106"/>
    <w:qFormat/>
    <w:uiPriority w:val="0"/>
    <w:pPr>
      <w:keepNext/>
      <w:numPr>
        <w:ilvl w:val="1"/>
        <w:numId w:val="1"/>
      </w:numPr>
      <w:tabs>
        <w:tab w:val="left" w:pos="420"/>
      </w:tabs>
      <w:spacing w:line="520" w:lineRule="atLeast"/>
      <w:outlineLvl w:val="4"/>
    </w:pPr>
    <w:rPr>
      <w:sz w:val="28"/>
      <w:szCs w:val="20"/>
    </w:rPr>
  </w:style>
  <w:style w:type="paragraph" w:styleId="7">
    <w:name w:val="heading 6"/>
    <w:basedOn w:val="1"/>
    <w:next w:val="1"/>
    <w:link w:val="107"/>
    <w:uiPriority w:val="0"/>
    <w:pPr>
      <w:keepNext/>
      <w:numPr>
        <w:ilvl w:val="2"/>
        <w:numId w:val="1"/>
      </w:numPr>
      <w:tabs>
        <w:tab w:val="left" w:pos="420"/>
      </w:tabs>
      <w:spacing w:line="520" w:lineRule="atLeast"/>
      <w:outlineLvl w:val="5"/>
    </w:pPr>
    <w:rPr>
      <w:sz w:val="28"/>
      <w:szCs w:val="20"/>
    </w:rPr>
  </w:style>
  <w:style w:type="paragraph" w:styleId="8">
    <w:name w:val="heading 7"/>
    <w:basedOn w:val="1"/>
    <w:next w:val="1"/>
    <w:link w:val="108"/>
    <w:qFormat/>
    <w:uiPriority w:val="0"/>
    <w:pPr>
      <w:keepNext/>
      <w:numPr>
        <w:ilvl w:val="1"/>
        <w:numId w:val="2"/>
      </w:numPr>
      <w:tabs>
        <w:tab w:val="left" w:pos="420"/>
      </w:tabs>
      <w:spacing w:line="520" w:lineRule="atLeast"/>
      <w:outlineLvl w:val="6"/>
    </w:pPr>
    <w:rPr>
      <w:b/>
      <w:sz w:val="28"/>
      <w:szCs w:val="20"/>
    </w:rPr>
  </w:style>
  <w:style w:type="character" w:default="1" w:styleId="39">
    <w:name w:val="Default Paragraph Font"/>
    <w:unhideWhenUsed/>
    <w:qFormat/>
    <w:uiPriority w:val="1"/>
  </w:style>
  <w:style w:type="table" w:default="1" w:styleId="45">
    <w:name w:val="Normal Table"/>
    <w:unhideWhenUsed/>
    <w:qFormat/>
    <w:uiPriority w:val="99"/>
    <w:tblPr>
      <w:tblLayout w:type="fixed"/>
      <w:tblCellMar>
        <w:top w:w="0" w:type="dxa"/>
        <w:left w:w="108" w:type="dxa"/>
        <w:bottom w:w="0" w:type="dxa"/>
        <w:right w:w="108" w:type="dxa"/>
      </w:tblCellMar>
    </w:tblPr>
  </w:style>
  <w:style w:type="paragraph" w:styleId="9">
    <w:name w:val="annotation subject"/>
    <w:basedOn w:val="10"/>
    <w:next w:val="10"/>
    <w:link w:val="114"/>
    <w:qFormat/>
    <w:uiPriority w:val="0"/>
    <w:rPr>
      <w:b/>
      <w:bCs/>
    </w:rPr>
  </w:style>
  <w:style w:type="paragraph" w:styleId="10">
    <w:name w:val="annotation text"/>
    <w:basedOn w:val="1"/>
    <w:link w:val="113"/>
    <w:qFormat/>
    <w:uiPriority w:val="0"/>
    <w:pPr>
      <w:jc w:val="left"/>
    </w:pPr>
    <w:rPr>
      <w:sz w:val="21"/>
    </w:rPr>
  </w:style>
  <w:style w:type="paragraph" w:styleId="11">
    <w:name w:val="toc 7"/>
    <w:basedOn w:val="1"/>
    <w:next w:val="1"/>
    <w:uiPriority w:val="39"/>
    <w:pPr>
      <w:ind w:left="1440"/>
      <w:jc w:val="left"/>
    </w:pPr>
    <w:rPr>
      <w:rFonts w:asciiTheme="minorHAnsi" w:hAnsiTheme="minorHAnsi" w:cstheme="minorHAnsi"/>
      <w:sz w:val="18"/>
      <w:szCs w:val="18"/>
    </w:rPr>
  </w:style>
  <w:style w:type="paragraph" w:styleId="12">
    <w:name w:val="Body Text First Indent"/>
    <w:basedOn w:val="13"/>
    <w:link w:val="111"/>
    <w:qFormat/>
    <w:uiPriority w:val="0"/>
    <w:pPr>
      <w:ind w:firstLine="420" w:firstLineChars="100"/>
    </w:pPr>
    <w:rPr>
      <w:sz w:val="24"/>
    </w:rPr>
  </w:style>
  <w:style w:type="paragraph" w:styleId="13">
    <w:name w:val="Body Text"/>
    <w:basedOn w:val="1"/>
    <w:link w:val="104"/>
    <w:qFormat/>
    <w:uiPriority w:val="0"/>
    <w:pPr>
      <w:spacing w:after="120"/>
    </w:pPr>
    <w:rPr>
      <w:sz w:val="21"/>
    </w:rPr>
  </w:style>
  <w:style w:type="paragraph" w:styleId="14">
    <w:name w:val="Normal Indent"/>
    <w:basedOn w:val="1"/>
    <w:link w:val="99"/>
    <w:uiPriority w:val="0"/>
    <w:pPr>
      <w:ind w:firstLine="420"/>
    </w:pPr>
    <w:rPr>
      <w:sz w:val="21"/>
      <w:szCs w:val="20"/>
    </w:rPr>
  </w:style>
  <w:style w:type="paragraph" w:styleId="15">
    <w:name w:val="caption"/>
    <w:basedOn w:val="1"/>
    <w:next w:val="1"/>
    <w:qFormat/>
    <w:uiPriority w:val="0"/>
    <w:pPr>
      <w:adjustRightInd w:val="0"/>
      <w:snapToGrid w:val="0"/>
      <w:spacing w:beforeLines="75"/>
      <w:jc w:val="center"/>
    </w:pPr>
    <w:rPr>
      <w:b/>
      <w:szCs w:val="20"/>
    </w:rPr>
  </w:style>
  <w:style w:type="paragraph" w:styleId="16">
    <w:name w:val="Document Map"/>
    <w:basedOn w:val="1"/>
    <w:link w:val="98"/>
    <w:unhideWhenUsed/>
    <w:qFormat/>
    <w:uiPriority w:val="0"/>
    <w:rPr>
      <w:rFonts w:ascii="宋体"/>
      <w:sz w:val="18"/>
      <w:szCs w:val="18"/>
    </w:rPr>
  </w:style>
  <w:style w:type="paragraph" w:styleId="17">
    <w:name w:val="Body Text Indent"/>
    <w:basedOn w:val="1"/>
    <w:link w:val="110"/>
    <w:qFormat/>
    <w:uiPriority w:val="0"/>
    <w:pPr>
      <w:tabs>
        <w:tab w:val="left" w:pos="7920"/>
      </w:tabs>
      <w:ind w:right="34" w:firstLine="480" w:firstLineChars="200"/>
    </w:pPr>
    <w:rPr>
      <w:bCs/>
    </w:rPr>
  </w:style>
  <w:style w:type="paragraph" w:styleId="18">
    <w:name w:val="Block Text"/>
    <w:basedOn w:val="1"/>
    <w:qFormat/>
    <w:uiPriority w:val="0"/>
    <w:pPr>
      <w:ind w:left="210" w:right="52" w:firstLine="600"/>
    </w:pPr>
    <w:rPr>
      <w:rFonts w:ascii="仿宋_GB2312" w:eastAsia="仿宋_GB2312"/>
      <w:sz w:val="30"/>
      <w:szCs w:val="20"/>
    </w:rPr>
  </w:style>
  <w:style w:type="paragraph" w:styleId="19">
    <w:name w:val="toc 5"/>
    <w:basedOn w:val="1"/>
    <w:next w:val="1"/>
    <w:qFormat/>
    <w:uiPriority w:val="39"/>
    <w:pPr>
      <w:ind w:left="960"/>
      <w:jc w:val="left"/>
    </w:pPr>
    <w:rPr>
      <w:rFonts w:asciiTheme="minorHAnsi" w:hAnsiTheme="minorHAnsi" w:cstheme="minorHAnsi"/>
      <w:sz w:val="18"/>
      <w:szCs w:val="18"/>
    </w:rPr>
  </w:style>
  <w:style w:type="paragraph" w:styleId="20">
    <w:name w:val="toc 3"/>
    <w:basedOn w:val="1"/>
    <w:next w:val="1"/>
    <w:unhideWhenUsed/>
    <w:qFormat/>
    <w:uiPriority w:val="39"/>
    <w:pPr>
      <w:ind w:left="480"/>
      <w:jc w:val="left"/>
    </w:pPr>
    <w:rPr>
      <w:rFonts w:asciiTheme="minorHAnsi" w:hAnsiTheme="minorHAnsi" w:cstheme="minorHAnsi"/>
      <w:i/>
      <w:iCs/>
      <w:sz w:val="20"/>
      <w:szCs w:val="20"/>
    </w:rPr>
  </w:style>
  <w:style w:type="paragraph" w:styleId="21">
    <w:name w:val="Plain Text"/>
    <w:basedOn w:val="1"/>
    <w:link w:val="96"/>
    <w:qFormat/>
    <w:uiPriority w:val="0"/>
    <w:rPr>
      <w:rFonts w:ascii="宋体" w:hAnsi="Courier New"/>
      <w:sz w:val="21"/>
    </w:rPr>
  </w:style>
  <w:style w:type="paragraph" w:styleId="22">
    <w:name w:val="toc 8"/>
    <w:basedOn w:val="1"/>
    <w:next w:val="1"/>
    <w:qFormat/>
    <w:uiPriority w:val="39"/>
    <w:pPr>
      <w:ind w:left="1680"/>
      <w:jc w:val="left"/>
    </w:pPr>
    <w:rPr>
      <w:rFonts w:asciiTheme="minorHAnsi" w:hAnsiTheme="minorHAnsi" w:cstheme="minorHAnsi"/>
      <w:sz w:val="18"/>
      <w:szCs w:val="18"/>
    </w:rPr>
  </w:style>
  <w:style w:type="paragraph" w:styleId="23">
    <w:name w:val="Date"/>
    <w:basedOn w:val="1"/>
    <w:next w:val="1"/>
    <w:link w:val="109"/>
    <w:qFormat/>
    <w:uiPriority w:val="0"/>
    <w:pPr>
      <w:ind w:left="100" w:leftChars="2500"/>
    </w:pPr>
  </w:style>
  <w:style w:type="paragraph" w:styleId="24">
    <w:name w:val="Body Text Indent 2"/>
    <w:basedOn w:val="1"/>
    <w:link w:val="103"/>
    <w:qFormat/>
    <w:uiPriority w:val="0"/>
    <w:pPr>
      <w:spacing w:after="120" w:line="480" w:lineRule="auto"/>
      <w:ind w:left="420" w:leftChars="200"/>
    </w:pPr>
    <w:rPr>
      <w:sz w:val="21"/>
    </w:rPr>
  </w:style>
  <w:style w:type="paragraph" w:styleId="25">
    <w:name w:val="Balloon Text"/>
    <w:basedOn w:val="1"/>
    <w:link w:val="93"/>
    <w:unhideWhenUsed/>
    <w:qFormat/>
    <w:uiPriority w:val="0"/>
    <w:rPr>
      <w:sz w:val="18"/>
      <w:szCs w:val="18"/>
    </w:rPr>
  </w:style>
  <w:style w:type="paragraph" w:styleId="26">
    <w:name w:val="footer"/>
    <w:basedOn w:val="1"/>
    <w:link w:val="91"/>
    <w:qFormat/>
    <w:uiPriority w:val="99"/>
    <w:pPr>
      <w:tabs>
        <w:tab w:val="center" w:pos="4153"/>
        <w:tab w:val="right" w:pos="8306"/>
      </w:tabs>
      <w:snapToGrid w:val="0"/>
      <w:jc w:val="left"/>
    </w:pPr>
    <w:rPr>
      <w:sz w:val="18"/>
      <w:szCs w:val="18"/>
    </w:rPr>
  </w:style>
  <w:style w:type="paragraph" w:styleId="27">
    <w:name w:val="header"/>
    <w:basedOn w:val="1"/>
    <w:link w:val="92"/>
    <w:qFormat/>
    <w:uiPriority w:val="99"/>
    <w:pPr>
      <w:pBdr>
        <w:bottom w:val="single" w:color="auto" w:sz="6" w:space="1"/>
      </w:pBdr>
      <w:tabs>
        <w:tab w:val="center" w:pos="4153"/>
        <w:tab w:val="right" w:pos="8306"/>
      </w:tabs>
      <w:snapToGrid w:val="0"/>
      <w:jc w:val="center"/>
    </w:pPr>
    <w:rPr>
      <w:sz w:val="18"/>
      <w:szCs w:val="18"/>
    </w:rPr>
  </w:style>
  <w:style w:type="paragraph" w:styleId="28">
    <w:name w:val="toc 1"/>
    <w:basedOn w:val="1"/>
    <w:next w:val="1"/>
    <w:qFormat/>
    <w:uiPriority w:val="39"/>
    <w:pPr>
      <w:spacing w:before="120" w:after="120"/>
      <w:jc w:val="left"/>
    </w:pPr>
    <w:rPr>
      <w:rFonts w:asciiTheme="minorHAnsi" w:hAnsiTheme="minorHAnsi" w:cstheme="minorHAnsi"/>
      <w:b/>
      <w:bCs/>
      <w:caps/>
      <w:sz w:val="20"/>
      <w:szCs w:val="20"/>
    </w:rPr>
  </w:style>
  <w:style w:type="paragraph" w:styleId="29">
    <w:name w:val="toc 4"/>
    <w:basedOn w:val="1"/>
    <w:next w:val="1"/>
    <w:qFormat/>
    <w:uiPriority w:val="39"/>
    <w:pPr>
      <w:ind w:left="720"/>
      <w:jc w:val="left"/>
    </w:pPr>
    <w:rPr>
      <w:rFonts w:asciiTheme="minorHAnsi" w:hAnsiTheme="minorHAnsi" w:cstheme="minorHAnsi"/>
      <w:sz w:val="18"/>
      <w:szCs w:val="18"/>
    </w:rPr>
  </w:style>
  <w:style w:type="paragraph" w:styleId="30">
    <w:name w:val="Subtitle"/>
    <w:basedOn w:val="1"/>
    <w:next w:val="1"/>
    <w:link w:val="101"/>
    <w:qFormat/>
    <w:uiPriority w:val="0"/>
    <w:pPr>
      <w:spacing w:before="240" w:after="60" w:line="312" w:lineRule="auto"/>
      <w:jc w:val="center"/>
      <w:outlineLvl w:val="1"/>
    </w:pPr>
    <w:rPr>
      <w:rFonts w:ascii="Cambria" w:hAnsi="Cambria"/>
      <w:b/>
      <w:bCs/>
      <w:kern w:val="28"/>
      <w:sz w:val="32"/>
      <w:szCs w:val="32"/>
    </w:rPr>
  </w:style>
  <w:style w:type="paragraph" w:styleId="31">
    <w:name w:val="footnote text"/>
    <w:basedOn w:val="1"/>
    <w:link w:val="134"/>
    <w:unhideWhenUsed/>
    <w:qFormat/>
    <w:uiPriority w:val="0"/>
    <w:pPr>
      <w:snapToGrid w:val="0"/>
      <w:jc w:val="left"/>
    </w:pPr>
    <w:rPr>
      <w:sz w:val="18"/>
      <w:szCs w:val="18"/>
    </w:rPr>
  </w:style>
  <w:style w:type="paragraph" w:styleId="32">
    <w:name w:val="toc 6"/>
    <w:basedOn w:val="1"/>
    <w:next w:val="1"/>
    <w:qFormat/>
    <w:uiPriority w:val="39"/>
    <w:pPr>
      <w:ind w:left="1200"/>
      <w:jc w:val="left"/>
    </w:pPr>
    <w:rPr>
      <w:rFonts w:asciiTheme="minorHAnsi" w:hAnsiTheme="minorHAnsi" w:cstheme="minorHAnsi"/>
      <w:sz w:val="18"/>
      <w:szCs w:val="18"/>
    </w:rPr>
  </w:style>
  <w:style w:type="paragraph" w:styleId="33">
    <w:name w:val="toc 2"/>
    <w:basedOn w:val="1"/>
    <w:next w:val="1"/>
    <w:qFormat/>
    <w:uiPriority w:val="39"/>
    <w:pPr>
      <w:ind w:left="240"/>
      <w:jc w:val="left"/>
    </w:pPr>
    <w:rPr>
      <w:rFonts w:asciiTheme="minorHAnsi" w:hAnsiTheme="minorHAnsi" w:cstheme="minorHAnsi"/>
      <w:smallCaps/>
      <w:sz w:val="20"/>
      <w:szCs w:val="20"/>
    </w:rPr>
  </w:style>
  <w:style w:type="paragraph" w:styleId="34">
    <w:name w:val="toc 9"/>
    <w:basedOn w:val="1"/>
    <w:next w:val="1"/>
    <w:qFormat/>
    <w:uiPriority w:val="39"/>
    <w:pPr>
      <w:ind w:left="1920"/>
      <w:jc w:val="left"/>
    </w:pPr>
    <w:rPr>
      <w:rFonts w:asciiTheme="minorHAnsi" w:hAnsiTheme="minorHAnsi" w:cstheme="minorHAnsi"/>
      <w:sz w:val="18"/>
      <w:szCs w:val="18"/>
    </w:rPr>
  </w:style>
  <w:style w:type="paragraph" w:styleId="35">
    <w:name w:val="Body Text 2"/>
    <w:basedOn w:val="1"/>
    <w:next w:val="36"/>
    <w:link w:val="95"/>
    <w:qFormat/>
    <w:uiPriority w:val="99"/>
    <w:pPr>
      <w:autoSpaceDE w:val="0"/>
      <w:autoSpaceDN w:val="0"/>
      <w:adjustRightInd w:val="0"/>
      <w:jc w:val="left"/>
    </w:pPr>
    <w:rPr>
      <w:rFonts w:ascii="华文细黑" w:hAnsi="Calibri" w:eastAsia="华文细黑"/>
      <w:kern w:val="0"/>
    </w:rPr>
  </w:style>
  <w:style w:type="paragraph" w:customStyle="1" w:styleId="36">
    <w:name w:val="GH 表"/>
    <w:link w:val="58"/>
    <w:qFormat/>
    <w:uiPriority w:val="0"/>
    <w:pPr>
      <w:widowControl w:val="0"/>
      <w:adjustRightInd w:val="0"/>
      <w:snapToGrid w:val="0"/>
      <w:spacing w:line="240" w:lineRule="auto"/>
      <w:jc w:val="center"/>
    </w:pPr>
    <w:rPr>
      <w:rFonts w:ascii="宋体" w:hAnsi="Times New Roman" w:eastAsia="宋体" w:cs="Times New Roman"/>
      <w:bCs/>
      <w:color w:val="000000" w:themeColor="text1"/>
      <w:kern w:val="28"/>
      <w:sz w:val="21"/>
      <w:szCs w:val="32"/>
      <w:lang w:val="en-US" w:eastAsia="zh-CN" w:bidi="ar-SA"/>
    </w:rPr>
  </w:style>
  <w:style w:type="paragraph" w:styleId="37">
    <w:name w:val="Normal (Web)"/>
    <w:basedOn w:val="1"/>
    <w:link w:val="119"/>
    <w:qFormat/>
    <w:uiPriority w:val="99"/>
    <w:pPr>
      <w:widowControl/>
      <w:spacing w:before="100" w:beforeAutospacing="1" w:after="100" w:afterAutospacing="1"/>
      <w:jc w:val="left"/>
    </w:pPr>
    <w:rPr>
      <w:rFonts w:ascii="宋体" w:hAnsi="宋体" w:cs="宋体"/>
      <w:kern w:val="0"/>
    </w:rPr>
  </w:style>
  <w:style w:type="paragraph" w:styleId="38">
    <w:name w:val="Title"/>
    <w:basedOn w:val="1"/>
    <w:next w:val="1"/>
    <w:link w:val="94"/>
    <w:qFormat/>
    <w:uiPriority w:val="10"/>
    <w:pPr>
      <w:spacing w:before="240" w:after="60"/>
      <w:jc w:val="center"/>
      <w:outlineLvl w:val="0"/>
    </w:pPr>
    <w:rPr>
      <w:rFonts w:ascii="Cambria" w:hAnsi="Cambria"/>
      <w:b/>
      <w:bCs/>
      <w:sz w:val="32"/>
      <w:szCs w:val="32"/>
    </w:rPr>
  </w:style>
  <w:style w:type="character" w:styleId="40">
    <w:name w:val="Strong"/>
    <w:qFormat/>
    <w:uiPriority w:val="22"/>
    <w:rPr>
      <w:b/>
      <w:bCs/>
    </w:rPr>
  </w:style>
  <w:style w:type="character" w:styleId="41">
    <w:name w:val="page number"/>
    <w:basedOn w:val="39"/>
    <w:qFormat/>
    <w:uiPriority w:val="0"/>
  </w:style>
  <w:style w:type="character" w:styleId="42">
    <w:name w:val="Hyperlink"/>
    <w:basedOn w:val="39"/>
    <w:qFormat/>
    <w:uiPriority w:val="99"/>
    <w:rPr>
      <w:color w:val="0000FF"/>
      <w:u w:val="single"/>
    </w:rPr>
  </w:style>
  <w:style w:type="character" w:styleId="43">
    <w:name w:val="annotation reference"/>
    <w:qFormat/>
    <w:uiPriority w:val="0"/>
    <w:rPr>
      <w:sz w:val="21"/>
      <w:szCs w:val="21"/>
    </w:rPr>
  </w:style>
  <w:style w:type="character" w:styleId="44">
    <w:name w:val="footnote reference"/>
    <w:basedOn w:val="39"/>
    <w:unhideWhenUsed/>
    <w:qFormat/>
    <w:uiPriority w:val="0"/>
    <w:rPr>
      <w:vertAlign w:val="superscript"/>
    </w:rPr>
  </w:style>
  <w:style w:type="table" w:styleId="46">
    <w:name w:val="Table Grid"/>
    <w:basedOn w:val="4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customStyle="1" w:styleId="47">
    <w:name w:val="GH 图表格式"/>
    <w:link w:val="56"/>
    <w:qFormat/>
    <w:uiPriority w:val="0"/>
    <w:pPr>
      <w:spacing w:line="360" w:lineRule="auto"/>
    </w:pPr>
    <w:rPr>
      <w:rFonts w:ascii="宋体" w:hAnsi="Times New Roman" w:eastAsia="宋体" w:cs="Times New Roman"/>
      <w:bCs/>
      <w:color w:val="000000" w:themeColor="text1"/>
      <w:kern w:val="28"/>
      <w:sz w:val="24"/>
      <w:szCs w:val="32"/>
      <w:lang w:val="en-US" w:eastAsia="zh-CN" w:bidi="ar-SA"/>
    </w:rPr>
  </w:style>
  <w:style w:type="paragraph" w:customStyle="1" w:styleId="48">
    <w:name w:val="默认段落字体 Para Char Char Char Char"/>
    <w:basedOn w:val="1"/>
    <w:qFormat/>
    <w:uiPriority w:val="0"/>
    <w:rPr>
      <w:sz w:val="21"/>
    </w:rPr>
  </w:style>
  <w:style w:type="paragraph" w:customStyle="1" w:styleId="49">
    <w:name w:val="CM56"/>
    <w:basedOn w:val="1"/>
    <w:next w:val="36"/>
    <w:qFormat/>
    <w:uiPriority w:val="99"/>
    <w:pPr>
      <w:autoSpaceDE w:val="0"/>
      <w:autoSpaceDN w:val="0"/>
      <w:adjustRightInd w:val="0"/>
      <w:spacing w:after="218"/>
      <w:jc w:val="left"/>
    </w:pPr>
    <w:rPr>
      <w:kern w:val="0"/>
    </w:rPr>
  </w:style>
  <w:style w:type="paragraph" w:customStyle="1" w:styleId="50">
    <w:name w:val="彩色列表 - 强调文字颜色 11"/>
    <w:basedOn w:val="1"/>
    <w:qFormat/>
    <w:uiPriority w:val="99"/>
    <w:pPr>
      <w:ind w:firstLine="420" w:firstLineChars="200"/>
    </w:pPr>
    <w:rPr>
      <w:rFonts w:ascii="Calibri" w:hAnsi="Calibri"/>
      <w:sz w:val="21"/>
      <w:szCs w:val="22"/>
    </w:rPr>
  </w:style>
  <w:style w:type="paragraph" w:customStyle="1" w:styleId="51">
    <w:name w:val="CM15"/>
    <w:basedOn w:val="1"/>
    <w:next w:val="36"/>
    <w:qFormat/>
    <w:uiPriority w:val="99"/>
    <w:pPr>
      <w:autoSpaceDE w:val="0"/>
      <w:autoSpaceDN w:val="0"/>
      <w:adjustRightInd w:val="0"/>
      <w:spacing w:after="583"/>
      <w:jc w:val="left"/>
    </w:pPr>
    <w:rPr>
      <w:rFonts w:ascii="宋体" w:hAnsi="Calibri"/>
      <w:kern w:val="0"/>
    </w:rPr>
  </w:style>
  <w:style w:type="paragraph" w:customStyle="1" w:styleId="52">
    <w:name w:val="CM13"/>
    <w:basedOn w:val="1"/>
    <w:next w:val="36"/>
    <w:qFormat/>
    <w:uiPriority w:val="99"/>
    <w:pPr>
      <w:autoSpaceDE w:val="0"/>
      <w:autoSpaceDN w:val="0"/>
      <w:adjustRightInd w:val="0"/>
      <w:spacing w:after="300"/>
      <w:jc w:val="left"/>
    </w:pPr>
    <w:rPr>
      <w:rFonts w:ascii="宋体" w:hAnsi="Calibri"/>
      <w:kern w:val="0"/>
    </w:rPr>
  </w:style>
  <w:style w:type="paragraph" w:customStyle="1" w:styleId="53">
    <w:name w:val="CM4"/>
    <w:basedOn w:val="1"/>
    <w:next w:val="36"/>
    <w:qFormat/>
    <w:uiPriority w:val="99"/>
    <w:pPr>
      <w:autoSpaceDE w:val="0"/>
      <w:autoSpaceDN w:val="0"/>
      <w:adjustRightInd w:val="0"/>
      <w:spacing w:line="626" w:lineRule="atLeast"/>
      <w:jc w:val="left"/>
    </w:pPr>
    <w:rPr>
      <w:rFonts w:ascii="宋体" w:hAnsi="Calibri"/>
      <w:kern w:val="0"/>
    </w:rPr>
  </w:style>
  <w:style w:type="paragraph" w:customStyle="1" w:styleId="54">
    <w:name w:val="TOC 标题1"/>
    <w:basedOn w:val="2"/>
    <w:next w:val="1"/>
    <w:qFormat/>
    <w:uiPriority w:val="39"/>
    <w:pPr>
      <w:widowControl/>
      <w:spacing w:before="480" w:after="0" w:line="276" w:lineRule="auto"/>
      <w:jc w:val="left"/>
      <w:outlineLvl w:val="9"/>
    </w:pPr>
    <w:rPr>
      <w:rFonts w:ascii="Cambria" w:hAnsi="Cambria"/>
      <w:color w:val="365F91"/>
      <w:kern w:val="0"/>
      <w:sz w:val="28"/>
      <w:szCs w:val="28"/>
    </w:rPr>
  </w:style>
  <w:style w:type="paragraph" w:customStyle="1" w:styleId="55">
    <w:name w:val="CM11"/>
    <w:basedOn w:val="1"/>
    <w:next w:val="36"/>
    <w:qFormat/>
    <w:uiPriority w:val="99"/>
    <w:pPr>
      <w:autoSpaceDE w:val="0"/>
      <w:autoSpaceDN w:val="0"/>
      <w:adjustRightInd w:val="0"/>
      <w:jc w:val="left"/>
    </w:pPr>
    <w:rPr>
      <w:kern w:val="0"/>
    </w:rPr>
  </w:style>
  <w:style w:type="character" w:customStyle="1" w:styleId="56">
    <w:name w:val="GH 图表格式 Char"/>
    <w:basedOn w:val="39"/>
    <w:link w:val="47"/>
    <w:qFormat/>
    <w:uiPriority w:val="0"/>
    <w:rPr>
      <w:rFonts w:ascii="宋体"/>
      <w:bCs/>
      <w:color w:val="000000" w:themeColor="text1"/>
      <w:kern w:val="28"/>
      <w:szCs w:val="32"/>
    </w:rPr>
  </w:style>
  <w:style w:type="paragraph" w:customStyle="1" w:styleId="57">
    <w:name w:val="p16"/>
    <w:basedOn w:val="1"/>
    <w:qFormat/>
    <w:uiPriority w:val="0"/>
    <w:pPr>
      <w:widowControl/>
      <w:ind w:firstLine="482"/>
    </w:pPr>
    <w:rPr>
      <w:rFonts w:ascii="宋体" w:hAnsi="宋体"/>
      <w:kern w:val="0"/>
      <w:szCs w:val="28"/>
    </w:rPr>
  </w:style>
  <w:style w:type="character" w:customStyle="1" w:styleId="58">
    <w:name w:val="GH 表 Char"/>
    <w:basedOn w:val="56"/>
    <w:link w:val="36"/>
    <w:qFormat/>
    <w:uiPriority w:val="0"/>
    <w:rPr>
      <w:rFonts w:ascii="宋体"/>
      <w:color w:val="000000" w:themeColor="text1"/>
      <w:kern w:val="28"/>
      <w:sz w:val="21"/>
      <w:szCs w:val="32"/>
    </w:rPr>
  </w:style>
  <w:style w:type="paragraph" w:customStyle="1" w:styleId="59">
    <w:name w:val="xl29"/>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kern w:val="0"/>
    </w:rPr>
  </w:style>
  <w:style w:type="paragraph" w:customStyle="1" w:styleId="60">
    <w:name w:val="xl28"/>
    <w:basedOn w:val="1"/>
    <w:qFormat/>
    <w:uiPriority w:val="0"/>
    <w:pPr>
      <w:widowControl/>
      <w:pBdr>
        <w:left w:val="single" w:color="auto" w:sz="4" w:space="0"/>
        <w:bottom w:val="single" w:color="auto" w:sz="4" w:space="0"/>
        <w:right w:val="single" w:color="auto" w:sz="4" w:space="0"/>
      </w:pBdr>
      <w:spacing w:before="100" w:after="100"/>
      <w:jc w:val="left"/>
    </w:pPr>
    <w:rPr>
      <w:rFonts w:ascii="宋体" w:hAnsi="宋体"/>
      <w:kern w:val="0"/>
    </w:rPr>
  </w:style>
  <w:style w:type="paragraph" w:customStyle="1" w:styleId="61">
    <w:name w:val="标题4"/>
    <w:basedOn w:val="5"/>
    <w:qFormat/>
    <w:uiPriority w:val="0"/>
    <w:pPr>
      <w:keepLines/>
      <w:spacing w:before="280" w:after="290" w:line="376" w:lineRule="auto"/>
    </w:pPr>
    <w:rPr>
      <w:rFonts w:ascii="Arial" w:hAnsi="Arial"/>
      <w:b/>
    </w:rPr>
  </w:style>
  <w:style w:type="paragraph" w:customStyle="1" w:styleId="62">
    <w:name w:val="标题5"/>
    <w:basedOn w:val="6"/>
    <w:next w:val="6"/>
    <w:qFormat/>
    <w:uiPriority w:val="0"/>
    <w:pPr>
      <w:keepLines/>
      <w:numPr>
        <w:numId w:val="0"/>
      </w:numPr>
      <w:spacing w:before="280" w:after="290" w:line="376" w:lineRule="auto"/>
    </w:pPr>
    <w:rPr>
      <w:b/>
      <w:sz w:val="24"/>
    </w:rPr>
  </w:style>
  <w:style w:type="paragraph" w:customStyle="1" w:styleId="63">
    <w:name w:val="xl23"/>
    <w:basedOn w:val="1"/>
    <w:qFormat/>
    <w:uiPriority w:val="0"/>
    <w:pPr>
      <w:widowControl/>
      <w:pBdr>
        <w:top w:val="single" w:color="auto" w:sz="4" w:space="0"/>
        <w:left w:val="single" w:color="auto" w:sz="4" w:space="0"/>
        <w:bottom w:val="single" w:color="auto" w:sz="4" w:space="0"/>
        <w:right w:val="single" w:color="auto" w:sz="8" w:space="0"/>
      </w:pBdr>
      <w:spacing w:before="100" w:after="100"/>
      <w:jc w:val="center"/>
    </w:pPr>
    <w:rPr>
      <w:rFonts w:ascii="宋体" w:hAnsi="宋体"/>
      <w:kern w:val="0"/>
    </w:rPr>
  </w:style>
  <w:style w:type="paragraph" w:customStyle="1" w:styleId="64">
    <w:name w:val="xl24"/>
    <w:basedOn w:val="1"/>
    <w:qFormat/>
    <w:uiPriority w:val="0"/>
    <w:pPr>
      <w:widowControl/>
      <w:pBdr>
        <w:top w:val="single" w:color="auto" w:sz="4" w:space="0"/>
        <w:left w:val="single" w:color="auto" w:sz="4" w:space="0"/>
        <w:bottom w:val="single" w:color="auto" w:sz="8" w:space="0"/>
        <w:right w:val="single" w:color="auto" w:sz="4" w:space="0"/>
      </w:pBdr>
      <w:spacing w:before="100" w:after="100"/>
      <w:jc w:val="center"/>
    </w:pPr>
    <w:rPr>
      <w:rFonts w:ascii="宋体" w:hAnsi="宋体"/>
      <w:kern w:val="0"/>
    </w:rPr>
  </w:style>
  <w:style w:type="paragraph" w:customStyle="1" w:styleId="65">
    <w:name w:val="xl25"/>
    <w:basedOn w:val="1"/>
    <w:qFormat/>
    <w:uiPriority w:val="0"/>
    <w:pPr>
      <w:widowControl/>
      <w:pBdr>
        <w:top w:val="single" w:color="auto" w:sz="4" w:space="0"/>
        <w:left w:val="single" w:color="auto" w:sz="4" w:space="0"/>
        <w:bottom w:val="single" w:color="auto" w:sz="8" w:space="0"/>
        <w:right w:val="single" w:color="auto" w:sz="8" w:space="0"/>
      </w:pBdr>
      <w:spacing w:before="100" w:after="100"/>
      <w:jc w:val="center"/>
    </w:pPr>
    <w:rPr>
      <w:rFonts w:ascii="宋体" w:hAnsi="宋体"/>
      <w:kern w:val="0"/>
    </w:rPr>
  </w:style>
  <w:style w:type="paragraph" w:customStyle="1" w:styleId="66">
    <w:name w:val="xl26"/>
    <w:basedOn w:val="1"/>
    <w:qFormat/>
    <w:uiPriority w:val="0"/>
    <w:pPr>
      <w:widowControl/>
      <w:pBdr>
        <w:top w:val="single" w:color="auto" w:sz="4" w:space="0"/>
        <w:left w:val="single" w:color="auto" w:sz="4" w:space="0"/>
        <w:bottom w:val="single" w:color="auto" w:sz="4" w:space="0"/>
        <w:right w:val="single" w:color="auto" w:sz="4" w:space="0"/>
      </w:pBdr>
      <w:spacing w:before="100" w:after="100"/>
      <w:jc w:val="left"/>
    </w:pPr>
    <w:rPr>
      <w:rFonts w:ascii="宋体" w:hAnsi="宋体"/>
      <w:kern w:val="0"/>
    </w:rPr>
  </w:style>
  <w:style w:type="paragraph" w:customStyle="1" w:styleId="67">
    <w:name w:val="xl27"/>
    <w:basedOn w:val="1"/>
    <w:qFormat/>
    <w:uiPriority w:val="0"/>
    <w:pPr>
      <w:widowControl/>
      <w:pBdr>
        <w:top w:val="single" w:color="auto" w:sz="4" w:space="0"/>
        <w:left w:val="single" w:color="auto" w:sz="4" w:space="0"/>
        <w:bottom w:val="single" w:color="auto" w:sz="8" w:space="0"/>
        <w:right w:val="single" w:color="auto" w:sz="4" w:space="0"/>
      </w:pBdr>
      <w:spacing w:before="100" w:after="100"/>
      <w:jc w:val="left"/>
    </w:pPr>
    <w:rPr>
      <w:rFonts w:ascii="宋体" w:hAnsi="宋体"/>
      <w:kern w:val="0"/>
    </w:rPr>
  </w:style>
  <w:style w:type="paragraph" w:customStyle="1" w:styleId="68">
    <w:name w:val="xl30"/>
    <w:basedOn w:val="1"/>
    <w:qFormat/>
    <w:uiPriority w:val="0"/>
    <w:pPr>
      <w:widowControl/>
      <w:pBdr>
        <w:left w:val="single" w:color="auto" w:sz="4" w:space="0"/>
        <w:bottom w:val="single" w:color="auto" w:sz="4" w:space="0"/>
        <w:right w:val="single" w:color="auto" w:sz="8" w:space="0"/>
      </w:pBdr>
      <w:spacing w:before="100" w:after="100"/>
      <w:jc w:val="center"/>
    </w:pPr>
    <w:rPr>
      <w:rFonts w:ascii="宋体" w:hAnsi="宋体"/>
      <w:kern w:val="0"/>
    </w:rPr>
  </w:style>
  <w:style w:type="paragraph" w:customStyle="1" w:styleId="69">
    <w:name w:val="xl31"/>
    <w:basedOn w:val="1"/>
    <w:qFormat/>
    <w:uiPriority w:val="0"/>
    <w:pPr>
      <w:widowControl/>
      <w:pBdr>
        <w:top w:val="single" w:color="auto" w:sz="8" w:space="0"/>
        <w:left w:val="single" w:color="auto" w:sz="4" w:space="0"/>
        <w:right w:val="single" w:color="auto" w:sz="4" w:space="0"/>
      </w:pBdr>
      <w:spacing w:before="100" w:after="100"/>
      <w:jc w:val="right"/>
    </w:pPr>
    <w:rPr>
      <w:rFonts w:ascii="宋体" w:hAnsi="宋体"/>
      <w:kern w:val="0"/>
    </w:rPr>
  </w:style>
  <w:style w:type="paragraph" w:customStyle="1" w:styleId="70">
    <w:name w:val="xl32"/>
    <w:basedOn w:val="1"/>
    <w:qFormat/>
    <w:uiPriority w:val="0"/>
    <w:pPr>
      <w:widowControl/>
      <w:pBdr>
        <w:top w:val="single" w:color="auto" w:sz="4" w:space="0"/>
        <w:left w:val="single" w:color="auto" w:sz="8" w:space="0"/>
        <w:bottom w:val="single" w:color="auto" w:sz="4" w:space="0"/>
        <w:right w:val="single" w:color="auto" w:sz="4" w:space="0"/>
      </w:pBdr>
      <w:spacing w:before="100" w:after="100"/>
      <w:jc w:val="center"/>
    </w:pPr>
    <w:rPr>
      <w:rFonts w:ascii="宋体" w:hAnsi="宋体"/>
      <w:kern w:val="0"/>
    </w:rPr>
  </w:style>
  <w:style w:type="paragraph" w:customStyle="1" w:styleId="71">
    <w:name w:val="xl33"/>
    <w:basedOn w:val="1"/>
    <w:qFormat/>
    <w:uiPriority w:val="0"/>
    <w:pPr>
      <w:widowControl/>
      <w:pBdr>
        <w:top w:val="single" w:color="auto" w:sz="4" w:space="0"/>
        <w:left w:val="single" w:color="auto" w:sz="8" w:space="0"/>
        <w:bottom w:val="single" w:color="auto" w:sz="8" w:space="0"/>
        <w:right w:val="single" w:color="auto" w:sz="4" w:space="0"/>
      </w:pBdr>
      <w:spacing w:before="100" w:after="100"/>
      <w:jc w:val="center"/>
    </w:pPr>
    <w:rPr>
      <w:rFonts w:ascii="宋体" w:hAnsi="宋体"/>
      <w:kern w:val="0"/>
    </w:rPr>
  </w:style>
  <w:style w:type="paragraph" w:customStyle="1" w:styleId="72">
    <w:name w:val="xl34"/>
    <w:basedOn w:val="1"/>
    <w:qFormat/>
    <w:uiPriority w:val="0"/>
    <w:pPr>
      <w:widowControl/>
      <w:pBdr>
        <w:left w:val="single" w:color="auto" w:sz="8" w:space="0"/>
        <w:bottom w:val="single" w:color="auto" w:sz="4" w:space="0"/>
        <w:right w:val="single" w:color="auto" w:sz="4" w:space="0"/>
      </w:pBdr>
      <w:spacing w:before="100" w:after="100"/>
      <w:jc w:val="center"/>
    </w:pPr>
    <w:rPr>
      <w:rFonts w:ascii="宋体" w:hAnsi="宋体"/>
      <w:kern w:val="0"/>
    </w:rPr>
  </w:style>
  <w:style w:type="paragraph" w:customStyle="1" w:styleId="73">
    <w:name w:val="xl35"/>
    <w:basedOn w:val="1"/>
    <w:qFormat/>
    <w:uiPriority w:val="0"/>
    <w:pPr>
      <w:widowControl/>
      <w:pBdr>
        <w:left w:val="single" w:color="auto" w:sz="8" w:space="0"/>
        <w:bottom w:val="single" w:color="auto" w:sz="4" w:space="0"/>
        <w:right w:val="single" w:color="auto" w:sz="4" w:space="0"/>
      </w:pBdr>
      <w:spacing w:before="100" w:after="100"/>
      <w:jc w:val="center"/>
      <w:textAlignment w:val="center"/>
    </w:pPr>
    <w:rPr>
      <w:rFonts w:ascii="宋体" w:hAnsi="宋体"/>
      <w:kern w:val="0"/>
    </w:rPr>
  </w:style>
  <w:style w:type="paragraph" w:customStyle="1" w:styleId="74">
    <w:name w:val="xl36"/>
    <w:basedOn w:val="1"/>
    <w:qFormat/>
    <w:uiPriority w:val="0"/>
    <w:pPr>
      <w:widowControl/>
      <w:spacing w:before="100" w:after="100"/>
      <w:jc w:val="center"/>
    </w:pPr>
    <w:rPr>
      <w:rFonts w:ascii="宋体" w:hAnsi="宋体"/>
      <w:kern w:val="0"/>
      <w:sz w:val="32"/>
    </w:rPr>
  </w:style>
  <w:style w:type="paragraph" w:customStyle="1" w:styleId="75">
    <w:name w:val="xl37"/>
    <w:basedOn w:val="1"/>
    <w:qFormat/>
    <w:uiPriority w:val="0"/>
    <w:pPr>
      <w:widowControl/>
      <w:pBdr>
        <w:top w:val="single" w:color="auto" w:sz="8" w:space="0"/>
        <w:left w:val="single" w:color="auto" w:sz="4" w:space="0"/>
        <w:right w:val="single" w:color="auto" w:sz="4" w:space="0"/>
      </w:pBdr>
      <w:spacing w:before="100" w:after="100"/>
      <w:jc w:val="center"/>
      <w:textAlignment w:val="center"/>
    </w:pPr>
    <w:rPr>
      <w:rFonts w:ascii="宋体" w:hAnsi="宋体"/>
      <w:kern w:val="0"/>
    </w:rPr>
  </w:style>
  <w:style w:type="paragraph" w:customStyle="1" w:styleId="76">
    <w:name w:val="xl38"/>
    <w:basedOn w:val="1"/>
    <w:qFormat/>
    <w:uiPriority w:val="0"/>
    <w:pPr>
      <w:widowControl/>
      <w:pBdr>
        <w:left w:val="single" w:color="auto" w:sz="4" w:space="0"/>
        <w:bottom w:val="single" w:color="auto" w:sz="4" w:space="0"/>
        <w:right w:val="single" w:color="auto" w:sz="4" w:space="0"/>
      </w:pBdr>
      <w:spacing w:before="100" w:after="100"/>
      <w:jc w:val="center"/>
      <w:textAlignment w:val="center"/>
    </w:pPr>
    <w:rPr>
      <w:rFonts w:ascii="宋体" w:hAnsi="宋体"/>
      <w:kern w:val="0"/>
    </w:rPr>
  </w:style>
  <w:style w:type="paragraph" w:customStyle="1" w:styleId="77">
    <w:name w:val="xl39"/>
    <w:basedOn w:val="1"/>
    <w:qFormat/>
    <w:uiPriority w:val="0"/>
    <w:pPr>
      <w:widowControl/>
      <w:pBdr>
        <w:top w:val="single" w:color="auto" w:sz="8" w:space="0"/>
        <w:right w:val="single" w:color="auto" w:sz="4" w:space="0"/>
      </w:pBdr>
      <w:spacing w:before="100" w:after="100"/>
      <w:jc w:val="center"/>
      <w:textAlignment w:val="center"/>
    </w:pPr>
    <w:rPr>
      <w:rFonts w:ascii="宋体" w:hAnsi="宋体"/>
      <w:kern w:val="0"/>
    </w:rPr>
  </w:style>
  <w:style w:type="paragraph" w:customStyle="1" w:styleId="78">
    <w:name w:val="xl40"/>
    <w:basedOn w:val="1"/>
    <w:qFormat/>
    <w:uiPriority w:val="0"/>
    <w:pPr>
      <w:widowControl/>
      <w:pBdr>
        <w:bottom w:val="single" w:color="auto" w:sz="4" w:space="0"/>
        <w:right w:val="single" w:color="auto" w:sz="4" w:space="0"/>
      </w:pBdr>
      <w:spacing w:before="100" w:after="100"/>
      <w:jc w:val="center"/>
      <w:textAlignment w:val="center"/>
    </w:pPr>
    <w:rPr>
      <w:rFonts w:ascii="宋体" w:hAnsi="宋体"/>
      <w:kern w:val="0"/>
    </w:rPr>
  </w:style>
  <w:style w:type="paragraph" w:customStyle="1" w:styleId="79">
    <w:name w:val="xl41"/>
    <w:basedOn w:val="1"/>
    <w:qFormat/>
    <w:uiPriority w:val="0"/>
    <w:pPr>
      <w:widowControl/>
      <w:pBdr>
        <w:top w:val="single" w:color="auto" w:sz="8" w:space="0"/>
        <w:left w:val="single" w:color="auto" w:sz="4" w:space="0"/>
        <w:right w:val="single" w:color="auto" w:sz="8" w:space="0"/>
      </w:pBdr>
      <w:spacing w:before="100" w:after="100"/>
      <w:jc w:val="center"/>
      <w:textAlignment w:val="center"/>
    </w:pPr>
    <w:rPr>
      <w:rFonts w:ascii="宋体" w:hAnsi="宋体"/>
      <w:kern w:val="0"/>
    </w:rPr>
  </w:style>
  <w:style w:type="paragraph" w:customStyle="1" w:styleId="80">
    <w:name w:val="xl42"/>
    <w:basedOn w:val="1"/>
    <w:qFormat/>
    <w:uiPriority w:val="0"/>
    <w:pPr>
      <w:widowControl/>
      <w:pBdr>
        <w:left w:val="single" w:color="auto" w:sz="4" w:space="0"/>
        <w:bottom w:val="single" w:color="auto" w:sz="4" w:space="0"/>
        <w:right w:val="single" w:color="auto" w:sz="8" w:space="0"/>
      </w:pBdr>
      <w:spacing w:before="100" w:after="100"/>
      <w:jc w:val="center"/>
      <w:textAlignment w:val="center"/>
    </w:pPr>
    <w:rPr>
      <w:rFonts w:ascii="宋体" w:hAnsi="宋体"/>
      <w:kern w:val="0"/>
    </w:rPr>
  </w:style>
  <w:style w:type="paragraph" w:customStyle="1" w:styleId="81">
    <w:name w:val="xl43"/>
    <w:basedOn w:val="1"/>
    <w:qFormat/>
    <w:uiPriority w:val="0"/>
    <w:pPr>
      <w:widowControl/>
      <w:pBdr>
        <w:top w:val="single" w:color="auto" w:sz="8" w:space="0"/>
        <w:left w:val="single" w:color="auto" w:sz="8" w:space="0"/>
        <w:right w:val="single" w:color="auto" w:sz="4" w:space="0"/>
      </w:pBdr>
      <w:spacing w:before="100" w:after="100"/>
      <w:jc w:val="center"/>
      <w:textAlignment w:val="center"/>
    </w:pPr>
    <w:rPr>
      <w:rFonts w:ascii="宋体" w:hAnsi="宋体"/>
      <w:kern w:val="0"/>
    </w:rPr>
  </w:style>
  <w:style w:type="paragraph" w:customStyle="1" w:styleId="82">
    <w:name w:val="正文1"/>
    <w:basedOn w:val="13"/>
    <w:qFormat/>
    <w:uiPriority w:val="0"/>
    <w:pPr>
      <w:spacing w:after="0" w:line="520" w:lineRule="exact"/>
      <w:ind w:firstLine="1191"/>
    </w:pPr>
    <w:rPr>
      <w:sz w:val="28"/>
    </w:rPr>
  </w:style>
  <w:style w:type="paragraph" w:customStyle="1" w:styleId="83">
    <w:name w:val="全部正文格式"/>
    <w:basedOn w:val="1"/>
    <w:link w:val="112"/>
    <w:qFormat/>
    <w:uiPriority w:val="0"/>
    <w:pPr>
      <w:ind w:firstLine="482"/>
    </w:pPr>
  </w:style>
  <w:style w:type="paragraph" w:customStyle="1" w:styleId="84">
    <w:name w:val="reader-word-layer"/>
    <w:basedOn w:val="1"/>
    <w:qFormat/>
    <w:uiPriority w:val="0"/>
    <w:pPr>
      <w:widowControl/>
      <w:spacing w:before="100" w:beforeAutospacing="1" w:after="100" w:afterAutospacing="1"/>
      <w:jc w:val="left"/>
    </w:pPr>
    <w:rPr>
      <w:rFonts w:ascii="宋体" w:hAnsi="宋体" w:cs="宋体"/>
      <w:kern w:val="0"/>
    </w:rPr>
  </w:style>
  <w:style w:type="paragraph" w:customStyle="1" w:styleId="85">
    <w:name w:val="ww"/>
    <w:basedOn w:val="1"/>
    <w:qFormat/>
    <w:uiPriority w:val="0"/>
    <w:pPr>
      <w:adjustRightInd w:val="0"/>
      <w:snapToGrid w:val="0"/>
      <w:ind w:firstLine="560" w:firstLineChars="200"/>
    </w:pPr>
    <w:rPr>
      <w:rFonts w:ascii="宋体"/>
      <w:sz w:val="28"/>
      <w:szCs w:val="28"/>
    </w:rPr>
  </w:style>
  <w:style w:type="paragraph" w:customStyle="1" w:styleId="86">
    <w:name w:val="内容"/>
    <w:basedOn w:val="1"/>
    <w:link w:val="115"/>
    <w:qFormat/>
    <w:uiPriority w:val="99"/>
    <w:pPr>
      <w:ind w:firstLine="560" w:firstLineChars="200"/>
    </w:pPr>
    <w:rPr>
      <w:rFonts w:cs="宋体"/>
      <w:szCs w:val="28"/>
    </w:rPr>
  </w:style>
  <w:style w:type="paragraph" w:customStyle="1" w:styleId="87">
    <w:name w:val="列出段落1"/>
    <w:basedOn w:val="1"/>
    <w:qFormat/>
    <w:uiPriority w:val="34"/>
    <w:pPr>
      <w:ind w:firstLine="420" w:firstLineChars="200"/>
    </w:pPr>
  </w:style>
  <w:style w:type="character" w:customStyle="1" w:styleId="88">
    <w:name w:val="标题 1 Char"/>
    <w:basedOn w:val="39"/>
    <w:link w:val="2"/>
    <w:qFormat/>
    <w:uiPriority w:val="0"/>
    <w:rPr>
      <w:rFonts w:ascii="Times New Roman" w:hAnsi="Times New Roman"/>
      <w:b/>
      <w:bCs/>
      <w:kern w:val="44"/>
      <w:sz w:val="44"/>
      <w:szCs w:val="44"/>
    </w:rPr>
  </w:style>
  <w:style w:type="character" w:customStyle="1" w:styleId="89">
    <w:name w:val="标题 2 Char"/>
    <w:basedOn w:val="39"/>
    <w:link w:val="3"/>
    <w:qFormat/>
    <w:uiPriority w:val="99"/>
    <w:rPr>
      <w:rFonts w:ascii="Cambria" w:hAnsi="Cambria" w:eastAsia="宋体" w:cs="Times New Roman"/>
      <w:b/>
      <w:bCs/>
      <w:kern w:val="2"/>
      <w:sz w:val="32"/>
      <w:szCs w:val="32"/>
    </w:rPr>
  </w:style>
  <w:style w:type="character" w:customStyle="1" w:styleId="90">
    <w:name w:val="标题 3 Char"/>
    <w:basedOn w:val="39"/>
    <w:link w:val="4"/>
    <w:qFormat/>
    <w:uiPriority w:val="99"/>
    <w:rPr>
      <w:rFonts w:ascii="Times New Roman" w:hAnsi="Times New Roman"/>
      <w:b/>
      <w:bCs/>
      <w:kern w:val="2"/>
      <w:sz w:val="32"/>
      <w:szCs w:val="32"/>
    </w:rPr>
  </w:style>
  <w:style w:type="character" w:customStyle="1" w:styleId="91">
    <w:name w:val="页脚 Char"/>
    <w:basedOn w:val="39"/>
    <w:link w:val="26"/>
    <w:qFormat/>
    <w:uiPriority w:val="99"/>
    <w:rPr>
      <w:rFonts w:ascii="Times New Roman" w:hAnsi="Times New Roman" w:eastAsia="宋体" w:cs="Times New Roman"/>
      <w:sz w:val="18"/>
      <w:szCs w:val="18"/>
    </w:rPr>
  </w:style>
  <w:style w:type="character" w:customStyle="1" w:styleId="92">
    <w:name w:val="页眉 Char"/>
    <w:basedOn w:val="39"/>
    <w:link w:val="27"/>
    <w:qFormat/>
    <w:uiPriority w:val="99"/>
    <w:rPr>
      <w:rFonts w:ascii="Times New Roman" w:hAnsi="Times New Roman" w:eastAsia="宋体" w:cs="Times New Roman"/>
      <w:sz w:val="18"/>
      <w:szCs w:val="18"/>
    </w:rPr>
  </w:style>
  <w:style w:type="character" w:customStyle="1" w:styleId="93">
    <w:name w:val="批注框文本 Char"/>
    <w:basedOn w:val="39"/>
    <w:link w:val="25"/>
    <w:qFormat/>
    <w:uiPriority w:val="0"/>
    <w:rPr>
      <w:rFonts w:ascii="Times New Roman" w:hAnsi="Times New Roman"/>
      <w:kern w:val="2"/>
      <w:sz w:val="18"/>
      <w:szCs w:val="18"/>
    </w:rPr>
  </w:style>
  <w:style w:type="character" w:customStyle="1" w:styleId="94">
    <w:name w:val="标题 Char"/>
    <w:basedOn w:val="39"/>
    <w:link w:val="38"/>
    <w:qFormat/>
    <w:uiPriority w:val="10"/>
    <w:rPr>
      <w:rFonts w:ascii="Cambria" w:hAnsi="Cambria" w:cs="Times New Roman"/>
      <w:b/>
      <w:bCs/>
      <w:kern w:val="2"/>
      <w:sz w:val="32"/>
      <w:szCs w:val="32"/>
    </w:rPr>
  </w:style>
  <w:style w:type="character" w:customStyle="1" w:styleId="95">
    <w:name w:val="正文文本 2 Char"/>
    <w:basedOn w:val="39"/>
    <w:link w:val="35"/>
    <w:qFormat/>
    <w:uiPriority w:val="99"/>
    <w:rPr>
      <w:rFonts w:ascii="华文细黑" w:eastAsia="华文细黑"/>
      <w:sz w:val="24"/>
      <w:szCs w:val="24"/>
    </w:rPr>
  </w:style>
  <w:style w:type="character" w:customStyle="1" w:styleId="96">
    <w:name w:val="纯文本 Char1"/>
    <w:basedOn w:val="39"/>
    <w:link w:val="21"/>
    <w:qFormat/>
    <w:uiPriority w:val="0"/>
    <w:rPr>
      <w:rFonts w:ascii="宋体" w:hAnsi="Courier New"/>
      <w:kern w:val="2"/>
      <w:sz w:val="21"/>
      <w:szCs w:val="24"/>
    </w:rPr>
  </w:style>
  <w:style w:type="character" w:customStyle="1" w:styleId="97">
    <w:name w:val="纯文本 Char"/>
    <w:basedOn w:val="39"/>
    <w:qFormat/>
    <w:uiPriority w:val="0"/>
    <w:rPr>
      <w:rFonts w:ascii="宋体" w:hAnsi="Courier New" w:cs="Courier New"/>
      <w:kern w:val="2"/>
      <w:sz w:val="21"/>
      <w:szCs w:val="21"/>
    </w:rPr>
  </w:style>
  <w:style w:type="character" w:customStyle="1" w:styleId="98">
    <w:name w:val="文档结构图 Char"/>
    <w:basedOn w:val="39"/>
    <w:link w:val="16"/>
    <w:qFormat/>
    <w:uiPriority w:val="0"/>
    <w:rPr>
      <w:rFonts w:ascii="宋体" w:hAnsi="Times New Roman"/>
      <w:kern w:val="2"/>
      <w:sz w:val="18"/>
      <w:szCs w:val="18"/>
    </w:rPr>
  </w:style>
  <w:style w:type="character" w:customStyle="1" w:styleId="99">
    <w:name w:val="正文缩进 Char"/>
    <w:basedOn w:val="39"/>
    <w:link w:val="14"/>
    <w:qFormat/>
    <w:uiPriority w:val="0"/>
    <w:rPr>
      <w:rFonts w:ascii="Times New Roman" w:hAnsi="Times New Roman"/>
      <w:kern w:val="2"/>
      <w:sz w:val="21"/>
    </w:rPr>
  </w:style>
  <w:style w:type="character" w:customStyle="1" w:styleId="100">
    <w:name w:val="占位符文本1"/>
    <w:basedOn w:val="39"/>
    <w:semiHidden/>
    <w:qFormat/>
    <w:uiPriority w:val="99"/>
    <w:rPr>
      <w:color w:val="808080"/>
    </w:rPr>
  </w:style>
  <w:style w:type="character" w:customStyle="1" w:styleId="101">
    <w:name w:val="副标题 Char"/>
    <w:basedOn w:val="39"/>
    <w:link w:val="30"/>
    <w:qFormat/>
    <w:uiPriority w:val="0"/>
    <w:rPr>
      <w:rFonts w:ascii="Cambria" w:hAnsi="Cambria"/>
      <w:b/>
      <w:bCs/>
      <w:kern w:val="28"/>
      <w:sz w:val="32"/>
      <w:szCs w:val="32"/>
    </w:rPr>
  </w:style>
  <w:style w:type="character" w:customStyle="1" w:styleId="102">
    <w:name w:val="正文（首行缩进两字） Char2"/>
    <w:basedOn w:val="39"/>
    <w:qFormat/>
    <w:uiPriority w:val="0"/>
    <w:rPr>
      <w:rFonts w:ascii="Calibri" w:hAnsi="Calibri" w:eastAsia="宋体" w:cs="Times New Roman"/>
      <w:kern w:val="2"/>
      <w:sz w:val="21"/>
      <w:szCs w:val="22"/>
    </w:rPr>
  </w:style>
  <w:style w:type="character" w:customStyle="1" w:styleId="103">
    <w:name w:val="正文文本缩进 2 Char"/>
    <w:basedOn w:val="39"/>
    <w:link w:val="24"/>
    <w:qFormat/>
    <w:uiPriority w:val="0"/>
    <w:rPr>
      <w:rFonts w:ascii="Times New Roman" w:hAnsi="Times New Roman"/>
      <w:kern w:val="2"/>
      <w:sz w:val="21"/>
      <w:szCs w:val="24"/>
    </w:rPr>
  </w:style>
  <w:style w:type="character" w:customStyle="1" w:styleId="104">
    <w:name w:val="正文文本 Char"/>
    <w:basedOn w:val="39"/>
    <w:link w:val="13"/>
    <w:qFormat/>
    <w:uiPriority w:val="0"/>
    <w:rPr>
      <w:rFonts w:ascii="Times New Roman" w:hAnsi="Times New Roman"/>
      <w:kern w:val="2"/>
      <w:sz w:val="21"/>
      <w:szCs w:val="24"/>
    </w:rPr>
  </w:style>
  <w:style w:type="character" w:customStyle="1" w:styleId="105">
    <w:name w:val="标题 4 Char"/>
    <w:basedOn w:val="39"/>
    <w:link w:val="5"/>
    <w:qFormat/>
    <w:uiPriority w:val="0"/>
    <w:rPr>
      <w:rFonts w:ascii="Times New Roman" w:hAnsi="Times New Roman" w:eastAsia="黑体"/>
      <w:kern w:val="2"/>
      <w:sz w:val="24"/>
    </w:rPr>
  </w:style>
  <w:style w:type="character" w:customStyle="1" w:styleId="106">
    <w:name w:val="标题 5 Char"/>
    <w:basedOn w:val="39"/>
    <w:link w:val="6"/>
    <w:qFormat/>
    <w:uiPriority w:val="0"/>
    <w:rPr>
      <w:kern w:val="2"/>
      <w:sz w:val="28"/>
      <w:szCs w:val="20"/>
    </w:rPr>
  </w:style>
  <w:style w:type="character" w:customStyle="1" w:styleId="107">
    <w:name w:val="标题 6 Char"/>
    <w:basedOn w:val="39"/>
    <w:link w:val="7"/>
    <w:qFormat/>
    <w:uiPriority w:val="0"/>
    <w:rPr>
      <w:kern w:val="2"/>
      <w:sz w:val="28"/>
      <w:szCs w:val="20"/>
    </w:rPr>
  </w:style>
  <w:style w:type="character" w:customStyle="1" w:styleId="108">
    <w:name w:val="标题 7 Char"/>
    <w:basedOn w:val="39"/>
    <w:link w:val="8"/>
    <w:qFormat/>
    <w:uiPriority w:val="0"/>
    <w:rPr>
      <w:b/>
      <w:kern w:val="2"/>
      <w:sz w:val="28"/>
      <w:szCs w:val="20"/>
    </w:rPr>
  </w:style>
  <w:style w:type="character" w:customStyle="1" w:styleId="109">
    <w:name w:val="日期 Char"/>
    <w:basedOn w:val="39"/>
    <w:link w:val="23"/>
    <w:qFormat/>
    <w:uiPriority w:val="0"/>
    <w:rPr>
      <w:rFonts w:ascii="Times New Roman" w:hAnsi="Times New Roman"/>
      <w:kern w:val="2"/>
      <w:sz w:val="24"/>
      <w:szCs w:val="24"/>
    </w:rPr>
  </w:style>
  <w:style w:type="character" w:customStyle="1" w:styleId="110">
    <w:name w:val="正文文本缩进 Char"/>
    <w:basedOn w:val="39"/>
    <w:link w:val="17"/>
    <w:qFormat/>
    <w:uiPriority w:val="0"/>
    <w:rPr>
      <w:rFonts w:ascii="Times New Roman" w:hAnsi="Times New Roman"/>
      <w:bCs/>
      <w:kern w:val="2"/>
      <w:sz w:val="24"/>
      <w:szCs w:val="24"/>
    </w:rPr>
  </w:style>
  <w:style w:type="character" w:customStyle="1" w:styleId="111">
    <w:name w:val="正文首行缩进 Char"/>
    <w:basedOn w:val="104"/>
    <w:link w:val="12"/>
    <w:qFormat/>
    <w:uiPriority w:val="0"/>
    <w:rPr>
      <w:rFonts w:ascii="Times New Roman" w:hAnsi="Times New Roman"/>
      <w:kern w:val="2"/>
      <w:sz w:val="24"/>
      <w:szCs w:val="24"/>
    </w:rPr>
  </w:style>
  <w:style w:type="character" w:customStyle="1" w:styleId="112">
    <w:name w:val="全部正文格式 Char"/>
    <w:link w:val="83"/>
    <w:qFormat/>
    <w:uiPriority w:val="0"/>
    <w:rPr>
      <w:rFonts w:ascii="Times New Roman" w:hAnsi="Times New Roman"/>
      <w:kern w:val="2"/>
      <w:sz w:val="24"/>
      <w:szCs w:val="24"/>
    </w:rPr>
  </w:style>
  <w:style w:type="character" w:customStyle="1" w:styleId="113">
    <w:name w:val="批注文字 Char"/>
    <w:basedOn w:val="39"/>
    <w:link w:val="10"/>
    <w:qFormat/>
    <w:uiPriority w:val="0"/>
    <w:rPr>
      <w:rFonts w:ascii="Times New Roman" w:hAnsi="Times New Roman"/>
      <w:kern w:val="2"/>
      <w:sz w:val="21"/>
      <w:szCs w:val="24"/>
    </w:rPr>
  </w:style>
  <w:style w:type="character" w:customStyle="1" w:styleId="114">
    <w:name w:val="批注主题 Char"/>
    <w:basedOn w:val="113"/>
    <w:link w:val="9"/>
    <w:qFormat/>
    <w:uiPriority w:val="0"/>
    <w:rPr>
      <w:rFonts w:ascii="Times New Roman" w:hAnsi="Times New Roman"/>
      <w:b/>
      <w:bCs/>
      <w:kern w:val="2"/>
      <w:sz w:val="21"/>
      <w:szCs w:val="24"/>
    </w:rPr>
  </w:style>
  <w:style w:type="character" w:customStyle="1" w:styleId="115">
    <w:name w:val="内容 Char"/>
    <w:basedOn w:val="39"/>
    <w:link w:val="86"/>
    <w:qFormat/>
    <w:locked/>
    <w:uiPriority w:val="99"/>
    <w:rPr>
      <w:rFonts w:ascii="Times New Roman" w:hAnsi="Times New Roman" w:cs="宋体"/>
      <w:kern w:val="2"/>
      <w:sz w:val="24"/>
      <w:szCs w:val="28"/>
    </w:rPr>
  </w:style>
  <w:style w:type="paragraph" w:customStyle="1" w:styleId="116">
    <w:name w:val="插图名"/>
    <w:basedOn w:val="1"/>
    <w:next w:val="1"/>
    <w:qFormat/>
    <w:uiPriority w:val="0"/>
    <w:pPr>
      <w:widowControl/>
      <w:adjustRightInd w:val="0"/>
      <w:snapToGrid w:val="0"/>
      <w:jc w:val="center"/>
      <w:outlineLvl w:val="5"/>
    </w:pPr>
    <w:rPr>
      <w:rFonts w:ascii="黑体" w:hAnsi="黑体" w:eastAsia="黑体"/>
      <w:szCs w:val="28"/>
    </w:rPr>
  </w:style>
  <w:style w:type="paragraph" w:customStyle="1" w:styleId="117">
    <w:name w:val="TOC Heading"/>
    <w:basedOn w:val="2"/>
    <w:next w:val="1"/>
    <w:unhideWhenUsed/>
    <w:qFormat/>
    <w:uiPriority w:val="39"/>
    <w:pPr>
      <w:widowControl/>
      <w:spacing w:before="480" w:after="0" w:line="276" w:lineRule="auto"/>
      <w:jc w:val="left"/>
      <w:outlineLvl w:val="9"/>
    </w:pPr>
    <w:rPr>
      <w:rFonts w:asciiTheme="majorHAnsi" w:hAnsiTheme="majorHAnsi" w:eastAsiaTheme="majorEastAsia" w:cstheme="majorBidi"/>
      <w:color w:val="366091" w:themeColor="accent1" w:themeShade="BF"/>
      <w:kern w:val="0"/>
      <w:sz w:val="28"/>
      <w:szCs w:val="28"/>
    </w:rPr>
  </w:style>
  <w:style w:type="paragraph" w:customStyle="1" w:styleId="118">
    <w:name w:val="zw"/>
    <w:basedOn w:val="1"/>
    <w:qFormat/>
    <w:uiPriority w:val="0"/>
    <w:pPr>
      <w:widowControl/>
      <w:spacing w:before="100" w:beforeAutospacing="1" w:after="100" w:afterAutospacing="1"/>
      <w:jc w:val="left"/>
    </w:pPr>
    <w:rPr>
      <w:rFonts w:ascii="宋体" w:hAnsi="宋体" w:cs="宋体"/>
      <w:kern w:val="0"/>
    </w:rPr>
  </w:style>
  <w:style w:type="character" w:customStyle="1" w:styleId="119">
    <w:name w:val="普通(网站) Char"/>
    <w:link w:val="37"/>
    <w:qFormat/>
    <w:uiPriority w:val="99"/>
    <w:rPr>
      <w:rFonts w:ascii="宋体" w:hAnsi="宋体" w:cs="宋体"/>
      <w:sz w:val="24"/>
      <w:szCs w:val="24"/>
    </w:rPr>
  </w:style>
  <w:style w:type="paragraph" w:customStyle="1" w:styleId="120">
    <w:name w:val="List Paragraph"/>
    <w:basedOn w:val="1"/>
    <w:qFormat/>
    <w:uiPriority w:val="34"/>
    <w:pPr>
      <w:ind w:firstLine="420" w:firstLineChars="200"/>
    </w:pPr>
    <w:rPr>
      <w:rFonts w:ascii="Calibri" w:hAnsi="Calibri"/>
      <w:sz w:val="21"/>
      <w:szCs w:val="22"/>
    </w:rPr>
  </w:style>
  <w:style w:type="table" w:customStyle="1" w:styleId="121">
    <w:name w:val="网格型1"/>
    <w:basedOn w:val="45"/>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customStyle="1" w:styleId="122">
    <w:name w:val="正文图片"/>
    <w:basedOn w:val="1"/>
    <w:link w:val="124"/>
    <w:qFormat/>
    <w:uiPriority w:val="0"/>
    <w:pPr>
      <w:autoSpaceDE w:val="0"/>
      <w:autoSpaceDN w:val="0"/>
      <w:adjustRightInd w:val="0"/>
      <w:jc w:val="center"/>
    </w:pPr>
    <w:rPr>
      <w:rFonts w:ascii="宋体" w:hAnsi="Calibri" w:cs="宋体"/>
      <w:kern w:val="0"/>
    </w:rPr>
  </w:style>
  <w:style w:type="paragraph" w:customStyle="1" w:styleId="123">
    <w:name w:val="GH 一级标题"/>
    <w:basedOn w:val="2"/>
    <w:qFormat/>
    <w:uiPriority w:val="0"/>
    <w:pPr>
      <w:numPr>
        <w:ilvl w:val="0"/>
        <w:numId w:val="3"/>
      </w:numPr>
      <w:adjustRightInd w:val="0"/>
      <w:snapToGrid w:val="0"/>
      <w:spacing w:before="0" w:after="0" w:line="360" w:lineRule="auto"/>
      <w:jc w:val="left"/>
    </w:pPr>
    <w:rPr>
      <w:rFonts w:ascii="黑体" w:eastAsia="黑体"/>
      <w:b w:val="0"/>
      <w:color w:val="000000" w:themeColor="text1"/>
      <w:sz w:val="32"/>
      <w:szCs w:val="32"/>
    </w:rPr>
  </w:style>
  <w:style w:type="character" w:customStyle="1" w:styleId="124">
    <w:name w:val="正文图片 Char"/>
    <w:basedOn w:val="39"/>
    <w:link w:val="122"/>
    <w:qFormat/>
    <w:uiPriority w:val="0"/>
    <w:rPr>
      <w:rFonts w:ascii="宋体" w:hAnsi="Calibri" w:cs="宋体"/>
      <w:sz w:val="24"/>
      <w:szCs w:val="24"/>
    </w:rPr>
  </w:style>
  <w:style w:type="paragraph" w:customStyle="1" w:styleId="125">
    <w:name w:val="GH 二级标题"/>
    <w:basedOn w:val="3"/>
    <w:qFormat/>
    <w:uiPriority w:val="0"/>
    <w:pPr>
      <w:numPr>
        <w:ilvl w:val="1"/>
        <w:numId w:val="3"/>
      </w:numPr>
      <w:adjustRightInd w:val="0"/>
      <w:snapToGrid w:val="0"/>
      <w:spacing w:before="0" w:after="0" w:line="360" w:lineRule="auto"/>
    </w:pPr>
    <w:rPr>
      <w:rFonts w:ascii="黑体" w:eastAsia="黑体"/>
      <w:b w:val="0"/>
      <w:sz w:val="30"/>
      <w:szCs w:val="30"/>
    </w:rPr>
  </w:style>
  <w:style w:type="paragraph" w:customStyle="1" w:styleId="126">
    <w:name w:val="GH 三级标题"/>
    <w:qFormat/>
    <w:uiPriority w:val="0"/>
    <w:pPr>
      <w:numPr>
        <w:ilvl w:val="2"/>
        <w:numId w:val="3"/>
      </w:numPr>
      <w:adjustRightInd w:val="0"/>
      <w:snapToGrid w:val="0"/>
      <w:spacing w:line="360" w:lineRule="auto"/>
      <w:outlineLvl w:val="2"/>
    </w:pPr>
    <w:rPr>
      <w:rFonts w:ascii="黑体" w:hAnsi="Times New Roman" w:eastAsia="黑体" w:cs="Times New Roman"/>
      <w:bCs/>
      <w:kern w:val="28"/>
      <w:sz w:val="28"/>
      <w:szCs w:val="28"/>
      <w:lang w:val="en-US" w:eastAsia="zh-CN" w:bidi="ar-SA"/>
    </w:rPr>
  </w:style>
  <w:style w:type="paragraph" w:customStyle="1" w:styleId="127">
    <w:name w:val="GH 四级标题"/>
    <w:basedOn w:val="86"/>
    <w:qFormat/>
    <w:uiPriority w:val="0"/>
    <w:pPr>
      <w:numPr>
        <w:ilvl w:val="3"/>
        <w:numId w:val="3"/>
      </w:numPr>
      <w:adjustRightInd w:val="0"/>
      <w:snapToGrid w:val="0"/>
      <w:ind w:left="0" w:firstLineChars="0"/>
      <w:outlineLvl w:val="3"/>
    </w:pPr>
    <w:rPr>
      <w:rFonts w:ascii="黑体" w:hAnsi="黑体" w:eastAsia="黑体"/>
      <w:color w:val="000000" w:themeColor="text1"/>
      <w:kern w:val="0"/>
    </w:rPr>
  </w:style>
  <w:style w:type="paragraph" w:customStyle="1" w:styleId="128">
    <w:name w:val="GH 正文"/>
    <w:link w:val="131"/>
    <w:qFormat/>
    <w:uiPriority w:val="0"/>
    <w:pPr>
      <w:adjustRightInd w:val="0"/>
      <w:snapToGrid w:val="0"/>
      <w:spacing w:line="360" w:lineRule="auto"/>
      <w:ind w:firstLine="480" w:firstLineChars="200"/>
      <w:jc w:val="both"/>
    </w:pPr>
    <w:rPr>
      <w:rFonts w:ascii="宋体" w:hAnsi="Times New Roman" w:eastAsia="宋体" w:cs="Times New Roman"/>
      <w:bCs/>
      <w:sz w:val="24"/>
      <w:szCs w:val="24"/>
      <w:lang w:val="en-US" w:eastAsia="zh-CN" w:bidi="ar-SA"/>
    </w:rPr>
  </w:style>
  <w:style w:type="paragraph" w:customStyle="1" w:styleId="129">
    <w:name w:val="GH 图"/>
    <w:basedOn w:val="1"/>
    <w:link w:val="139"/>
    <w:qFormat/>
    <w:uiPriority w:val="0"/>
    <w:pPr>
      <w:jc w:val="center"/>
    </w:pPr>
  </w:style>
  <w:style w:type="paragraph" w:customStyle="1" w:styleId="130">
    <w:name w:val="p15"/>
    <w:basedOn w:val="1"/>
    <w:qFormat/>
    <w:uiPriority w:val="0"/>
    <w:pPr>
      <w:widowControl/>
      <w:spacing w:line="240" w:lineRule="auto"/>
      <w:jc w:val="left"/>
    </w:pPr>
    <w:rPr>
      <w:rFonts w:ascii="宋体" w:hAnsi="宋体" w:cs="宋体"/>
      <w:kern w:val="0"/>
      <w:sz w:val="20"/>
      <w:szCs w:val="20"/>
    </w:rPr>
  </w:style>
  <w:style w:type="character" w:customStyle="1" w:styleId="131">
    <w:name w:val="GH 正文 Char"/>
    <w:basedOn w:val="39"/>
    <w:link w:val="128"/>
    <w:qFormat/>
    <w:uiPriority w:val="0"/>
    <w:rPr>
      <w:rFonts w:ascii="宋体"/>
      <w:bCs/>
    </w:rPr>
  </w:style>
  <w:style w:type="paragraph" w:customStyle="1" w:styleId="132">
    <w:name w:val="GH 表单位"/>
    <w:basedOn w:val="1"/>
    <w:link w:val="133"/>
    <w:qFormat/>
    <w:uiPriority w:val="0"/>
    <w:pPr>
      <w:widowControl/>
      <w:jc w:val="center"/>
    </w:pPr>
    <w:rPr>
      <w:rFonts w:ascii="黑体" w:hAnsi="黑体" w:eastAsia="黑体" w:cs="宋体"/>
      <w:kern w:val="0"/>
    </w:rPr>
  </w:style>
  <w:style w:type="character" w:customStyle="1" w:styleId="133">
    <w:name w:val="GH 表单位 Char"/>
    <w:basedOn w:val="39"/>
    <w:link w:val="132"/>
    <w:qFormat/>
    <w:uiPriority w:val="0"/>
    <w:rPr>
      <w:rFonts w:ascii="黑体" w:hAnsi="黑体" w:eastAsia="黑体" w:cs="宋体"/>
    </w:rPr>
  </w:style>
  <w:style w:type="character" w:customStyle="1" w:styleId="134">
    <w:name w:val="脚注文本 Char"/>
    <w:basedOn w:val="39"/>
    <w:link w:val="31"/>
    <w:semiHidden/>
    <w:qFormat/>
    <w:uiPriority w:val="0"/>
    <w:rPr>
      <w:kern w:val="2"/>
      <w:sz w:val="18"/>
      <w:szCs w:val="18"/>
    </w:rPr>
  </w:style>
  <w:style w:type="paragraph" w:customStyle="1" w:styleId="135">
    <w:name w:val="GH-编号"/>
    <w:basedOn w:val="128"/>
    <w:link w:val="136"/>
    <w:qFormat/>
    <w:uiPriority w:val="0"/>
    <w:pPr>
      <w:numPr>
        <w:ilvl w:val="0"/>
        <w:numId w:val="4"/>
      </w:numPr>
      <w:ind w:firstLine="0" w:firstLineChars="0"/>
    </w:pPr>
  </w:style>
  <w:style w:type="character" w:customStyle="1" w:styleId="136">
    <w:name w:val="GH-编号 字符"/>
    <w:basedOn w:val="131"/>
    <w:link w:val="135"/>
    <w:qFormat/>
    <w:uiPriority w:val="0"/>
    <w:rPr>
      <w:rFonts w:ascii="宋体"/>
    </w:rPr>
  </w:style>
  <w:style w:type="paragraph" w:customStyle="1" w:styleId="137">
    <w:name w:val="GH-图名"/>
    <w:basedOn w:val="129"/>
    <w:link w:val="140"/>
    <w:qFormat/>
    <w:uiPriority w:val="0"/>
    <w:pPr>
      <w:numPr>
        <w:ilvl w:val="1"/>
        <w:numId w:val="5"/>
      </w:numPr>
      <w:adjustRightInd w:val="0"/>
      <w:snapToGrid w:val="0"/>
    </w:pPr>
    <w:rPr>
      <w:rFonts w:ascii="黑体" w:hAnsi="黑体" w:eastAsia="黑体"/>
    </w:rPr>
  </w:style>
  <w:style w:type="paragraph" w:customStyle="1" w:styleId="138">
    <w:name w:val="标题 11"/>
    <w:basedOn w:val="2"/>
    <w:qFormat/>
    <w:uiPriority w:val="0"/>
    <w:pPr>
      <w:spacing w:before="340" w:line="720" w:lineRule="auto"/>
    </w:pPr>
    <w:rPr>
      <w:rFonts w:eastAsia="黑体"/>
      <w:b w:val="0"/>
      <w:sz w:val="36"/>
    </w:rPr>
  </w:style>
  <w:style w:type="character" w:customStyle="1" w:styleId="139">
    <w:name w:val="GH 图 字符"/>
    <w:basedOn w:val="39"/>
    <w:link w:val="129"/>
    <w:qFormat/>
    <w:uiPriority w:val="0"/>
    <w:rPr>
      <w:kern w:val="2"/>
    </w:rPr>
  </w:style>
  <w:style w:type="character" w:customStyle="1" w:styleId="140">
    <w:name w:val="GH-图名 字符"/>
    <w:basedOn w:val="139"/>
    <w:link w:val="137"/>
    <w:qFormat/>
    <w:uiPriority w:val="0"/>
    <w:rPr>
      <w:rFonts w:ascii="黑体" w:hAnsi="黑体" w:eastAsia="黑体"/>
      <w:kern w:val="2"/>
    </w:rPr>
  </w:style>
  <w:style w:type="table" w:customStyle="1" w:styleId="141">
    <w:name w:val="网格型2"/>
    <w:basedOn w:val="45"/>
    <w:qFormat/>
    <w:uiPriority w:val="39"/>
    <w:pPr>
      <w:widowControl w:val="0"/>
      <w:spacing w:line="240" w:lineRule="auto"/>
      <w:jc w:val="both"/>
    </w:pPr>
    <w:rPr>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142">
    <w:name w:val="description6"/>
    <w:basedOn w:val="39"/>
    <w:qFormat/>
    <w:uiPriority w:val="0"/>
  </w:style>
  <w:style w:type="paragraph" w:customStyle="1" w:styleId="143">
    <w:name w:val="文"/>
    <w:basedOn w:val="1"/>
    <w:qFormat/>
    <w:uiPriority w:val="0"/>
    <w:pPr>
      <w:ind w:firstLine="420" w:firstLineChars="200"/>
    </w:pPr>
    <w:rPr>
      <w:rFonts w:ascii="宋体" w:hAnsi="宋体"/>
      <w:szCs w:val="21"/>
    </w:rPr>
  </w:style>
</w:styles>
</file>

<file path=word/_rels/document.xml.rels><?xml version="1.0" encoding="UTF-8" standalone="yes"?>
<Relationships xmlns="http://schemas.openxmlformats.org/package/2006/relationships"><Relationship Id="rId95" Type="http://schemas.openxmlformats.org/officeDocument/2006/relationships/fontTable" Target="fontTable.xml"/><Relationship Id="rId94" Type="http://schemas.openxmlformats.org/officeDocument/2006/relationships/customXml" Target="../customXml/item2.xml"/><Relationship Id="rId93" Type="http://schemas.openxmlformats.org/officeDocument/2006/relationships/numbering" Target="numbering.xml"/><Relationship Id="rId92" Type="http://schemas.openxmlformats.org/officeDocument/2006/relationships/customXml" Target="../customXml/item1.xml"/><Relationship Id="rId91" Type="http://schemas.openxmlformats.org/officeDocument/2006/relationships/image" Target="media/image63.png"/><Relationship Id="rId90" Type="http://schemas.openxmlformats.org/officeDocument/2006/relationships/image" Target="media/image62.jpeg"/><Relationship Id="rId9" Type="http://schemas.openxmlformats.org/officeDocument/2006/relationships/theme" Target="theme/theme1.xml"/><Relationship Id="rId89" Type="http://schemas.openxmlformats.org/officeDocument/2006/relationships/image" Target="media/image61.jpeg"/><Relationship Id="rId88" Type="http://schemas.openxmlformats.org/officeDocument/2006/relationships/image" Target="media/image60.jpeg"/><Relationship Id="rId87" Type="http://schemas.openxmlformats.org/officeDocument/2006/relationships/image" Target="media/image59.jpeg"/><Relationship Id="rId86" Type="http://schemas.openxmlformats.org/officeDocument/2006/relationships/image" Target="media/image58.jpeg"/><Relationship Id="rId85" Type="http://schemas.openxmlformats.org/officeDocument/2006/relationships/image" Target="media/image57.png"/><Relationship Id="rId84" Type="http://schemas.openxmlformats.org/officeDocument/2006/relationships/image" Target="media/image56.png"/><Relationship Id="rId83" Type="http://schemas.openxmlformats.org/officeDocument/2006/relationships/image" Target="media/image55.jpeg"/><Relationship Id="rId82" Type="http://schemas.openxmlformats.org/officeDocument/2006/relationships/diagramColors" Target="diagrams/colors4.xml"/><Relationship Id="rId81" Type="http://schemas.openxmlformats.org/officeDocument/2006/relationships/diagramQuickStyle" Target="diagrams/quickStyle4.xml"/><Relationship Id="rId80" Type="http://schemas.openxmlformats.org/officeDocument/2006/relationships/diagramLayout" Target="diagrams/layout4.xml"/><Relationship Id="rId8" Type="http://schemas.openxmlformats.org/officeDocument/2006/relationships/footer" Target="footer6.xml"/><Relationship Id="rId79" Type="http://schemas.openxmlformats.org/officeDocument/2006/relationships/diagramData" Target="diagrams/data4.xml"/><Relationship Id="rId78" Type="http://schemas.openxmlformats.org/officeDocument/2006/relationships/image" Target="media/image54.png"/><Relationship Id="rId77" Type="http://schemas.openxmlformats.org/officeDocument/2006/relationships/image" Target="media/image53.png"/><Relationship Id="rId76" Type="http://schemas.openxmlformats.org/officeDocument/2006/relationships/image" Target="media/image52.jpeg"/><Relationship Id="rId75" Type="http://schemas.openxmlformats.org/officeDocument/2006/relationships/image" Target="media/image51.png"/><Relationship Id="rId74" Type="http://schemas.openxmlformats.org/officeDocument/2006/relationships/image" Target="media/image50.png"/><Relationship Id="rId73" Type="http://schemas.openxmlformats.org/officeDocument/2006/relationships/image" Target="media/image49.png"/><Relationship Id="rId72" Type="http://schemas.openxmlformats.org/officeDocument/2006/relationships/image" Target="media/image48.png"/><Relationship Id="rId71" Type="http://schemas.openxmlformats.org/officeDocument/2006/relationships/image" Target="media/image47.png"/><Relationship Id="rId70" Type="http://schemas.openxmlformats.org/officeDocument/2006/relationships/image" Target="media/image46.png"/><Relationship Id="rId7" Type="http://schemas.openxmlformats.org/officeDocument/2006/relationships/footer" Target="footer5.xml"/><Relationship Id="rId69" Type="http://schemas.openxmlformats.org/officeDocument/2006/relationships/image" Target="media/image45.png"/><Relationship Id="rId68" Type="http://schemas.openxmlformats.org/officeDocument/2006/relationships/image" Target="media/image44.png"/><Relationship Id="rId67" Type="http://schemas.openxmlformats.org/officeDocument/2006/relationships/diagramColors" Target="diagrams/colors3.xml"/><Relationship Id="rId66" Type="http://schemas.openxmlformats.org/officeDocument/2006/relationships/diagramQuickStyle" Target="diagrams/quickStyle3.xml"/><Relationship Id="rId65" Type="http://schemas.openxmlformats.org/officeDocument/2006/relationships/diagramLayout" Target="diagrams/layout3.xml"/><Relationship Id="rId64" Type="http://schemas.openxmlformats.org/officeDocument/2006/relationships/diagramData" Target="diagrams/data3.xml"/><Relationship Id="rId63" Type="http://schemas.openxmlformats.org/officeDocument/2006/relationships/image" Target="media/image43.png"/><Relationship Id="rId62" Type="http://schemas.openxmlformats.org/officeDocument/2006/relationships/image" Target="media/image42.png"/><Relationship Id="rId61" Type="http://schemas.openxmlformats.org/officeDocument/2006/relationships/image" Target="media/image41.png"/><Relationship Id="rId60" Type="http://schemas.openxmlformats.org/officeDocument/2006/relationships/image" Target="media/image40.emf"/><Relationship Id="rId6" Type="http://schemas.openxmlformats.org/officeDocument/2006/relationships/footer" Target="footer4.xml"/><Relationship Id="rId59" Type="http://schemas.openxmlformats.org/officeDocument/2006/relationships/oleObject" Target="embeddings/oleObject2.bin"/><Relationship Id="rId58" Type="http://schemas.openxmlformats.org/officeDocument/2006/relationships/image" Target="media/image39.emf"/><Relationship Id="rId57" Type="http://schemas.openxmlformats.org/officeDocument/2006/relationships/oleObject" Target="embeddings/oleObject1.bin"/><Relationship Id="rId56" Type="http://schemas.openxmlformats.org/officeDocument/2006/relationships/image" Target="media/image38.png"/><Relationship Id="rId55" Type="http://schemas.openxmlformats.org/officeDocument/2006/relationships/image" Target="media/image37.png"/><Relationship Id="rId54" Type="http://schemas.openxmlformats.org/officeDocument/2006/relationships/image" Target="media/image36.png"/><Relationship Id="rId53" Type="http://schemas.openxmlformats.org/officeDocument/2006/relationships/image" Target="media/image35.png"/><Relationship Id="rId52" Type="http://schemas.openxmlformats.org/officeDocument/2006/relationships/image" Target="media/image34.png"/><Relationship Id="rId51" Type="http://schemas.openxmlformats.org/officeDocument/2006/relationships/image" Target="media/image33.png"/><Relationship Id="rId50" Type="http://schemas.openxmlformats.org/officeDocument/2006/relationships/image" Target="media/image32.png"/><Relationship Id="rId5" Type="http://schemas.openxmlformats.org/officeDocument/2006/relationships/footer" Target="footer3.xml"/><Relationship Id="rId49" Type="http://schemas.openxmlformats.org/officeDocument/2006/relationships/image" Target="media/image31.png"/><Relationship Id="rId48" Type="http://schemas.openxmlformats.org/officeDocument/2006/relationships/image" Target="media/image30.jpeg"/><Relationship Id="rId47" Type="http://schemas.openxmlformats.org/officeDocument/2006/relationships/image" Target="media/image29.jpeg"/><Relationship Id="rId46" Type="http://schemas.openxmlformats.org/officeDocument/2006/relationships/image" Target="media/image28.emf"/><Relationship Id="rId45" Type="http://schemas.openxmlformats.org/officeDocument/2006/relationships/image" Target="media/image27.jpeg"/><Relationship Id="rId44" Type="http://schemas.openxmlformats.org/officeDocument/2006/relationships/image" Target="media/image26.jpeg"/><Relationship Id="rId43" Type="http://schemas.openxmlformats.org/officeDocument/2006/relationships/image" Target="media/image25.jpeg"/><Relationship Id="rId42" Type="http://schemas.openxmlformats.org/officeDocument/2006/relationships/image" Target="media/image24.jpeg"/><Relationship Id="rId41" Type="http://schemas.openxmlformats.org/officeDocument/2006/relationships/image" Target="media/image23.jpeg"/><Relationship Id="rId40" Type="http://schemas.openxmlformats.org/officeDocument/2006/relationships/image" Target="media/image22.png"/><Relationship Id="rId4" Type="http://schemas.openxmlformats.org/officeDocument/2006/relationships/footer" Target="footer2.xml"/><Relationship Id="rId39" Type="http://schemas.openxmlformats.org/officeDocument/2006/relationships/image" Target="media/image21.png"/><Relationship Id="rId38" Type="http://schemas.openxmlformats.org/officeDocument/2006/relationships/image" Target="media/image20.png"/><Relationship Id="rId37" Type="http://schemas.openxmlformats.org/officeDocument/2006/relationships/image" Target="media/image19.png"/><Relationship Id="rId36" Type="http://schemas.openxmlformats.org/officeDocument/2006/relationships/image" Target="media/image18.png"/><Relationship Id="rId35" Type="http://schemas.openxmlformats.org/officeDocument/2006/relationships/diagramColors" Target="diagrams/colors2.xml"/><Relationship Id="rId34" Type="http://schemas.openxmlformats.org/officeDocument/2006/relationships/diagramQuickStyle" Target="diagrams/quickStyle2.xml"/><Relationship Id="rId33" Type="http://schemas.openxmlformats.org/officeDocument/2006/relationships/diagramLayout" Target="diagrams/layout2.xml"/><Relationship Id="rId32" Type="http://schemas.openxmlformats.org/officeDocument/2006/relationships/diagramData" Target="diagrams/data2.xml"/><Relationship Id="rId31" Type="http://schemas.openxmlformats.org/officeDocument/2006/relationships/image" Target="media/image17.png"/><Relationship Id="rId30" Type="http://schemas.openxmlformats.org/officeDocument/2006/relationships/image" Target="media/image16.emf"/><Relationship Id="rId3" Type="http://schemas.openxmlformats.org/officeDocument/2006/relationships/footer" Target="footer1.xml"/><Relationship Id="rId29" Type="http://schemas.openxmlformats.org/officeDocument/2006/relationships/image" Target="media/image15.png"/><Relationship Id="rId28" Type="http://schemas.openxmlformats.org/officeDocument/2006/relationships/image" Target="media/image14.jpeg"/><Relationship Id="rId27" Type="http://schemas.openxmlformats.org/officeDocument/2006/relationships/image" Target="media/image13.jpeg"/><Relationship Id="rId26" Type="http://schemas.openxmlformats.org/officeDocument/2006/relationships/image" Target="media/image12.jpeg"/><Relationship Id="rId25" Type="http://schemas.openxmlformats.org/officeDocument/2006/relationships/image" Target="media/image11.jpeg"/><Relationship Id="rId24" Type="http://schemas.openxmlformats.org/officeDocument/2006/relationships/image" Target="media/image10.jpeg"/><Relationship Id="rId23" Type="http://schemas.openxmlformats.org/officeDocument/2006/relationships/image" Target="media/image9.jpeg"/><Relationship Id="rId22" Type="http://schemas.openxmlformats.org/officeDocument/2006/relationships/image" Target="media/image8.jpeg"/><Relationship Id="rId21" Type="http://schemas.openxmlformats.org/officeDocument/2006/relationships/image" Target="media/image7.jpe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jpeg"/><Relationship Id="rId17" Type="http://schemas.openxmlformats.org/officeDocument/2006/relationships/image" Target="media/image3.jpeg"/><Relationship Id="rId16" Type="http://schemas.openxmlformats.org/officeDocument/2006/relationships/chart" Target="charts/chart1.xml"/><Relationship Id="rId15" Type="http://schemas.openxmlformats.org/officeDocument/2006/relationships/diagramColors" Target="diagrams/colors1.xml"/><Relationship Id="rId14" Type="http://schemas.openxmlformats.org/officeDocument/2006/relationships/diagramQuickStyle" Target="diagrams/quickStyle1.xml"/><Relationship Id="rId13" Type="http://schemas.openxmlformats.org/officeDocument/2006/relationships/diagramLayout" Target="diagrams/layout1.xml"/><Relationship Id="rId12" Type="http://schemas.openxmlformats.org/officeDocument/2006/relationships/diagramData" Target="diagrams/data1.xml"/><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12017\Desktop\&#24494;&#3259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0"/>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lang="zh-CN" sz="1000" b="0" i="0" u="none" strike="noStrike" kern="1200" baseline="0">
                    <a:solidFill>
                      <a:schemeClr val="lt1"/>
                    </a:solidFill>
                    <a:latin typeface="+mn-lt"/>
                    <a:ea typeface="+mn-ea"/>
                    <a:cs typeface="+mn-cs"/>
                  </a:defRPr>
                </a:pPr>
              </a:p>
            </c:txPr>
            <c:dLblPos val="ctr"/>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dk1">
                          <a:lumMod val="50000"/>
                          <a:lumOff val="50000"/>
                        </a:schemeClr>
                      </a:solidFill>
                      <a:prstDash val="solid"/>
                      <a:round/>
                    </a:ln>
                    <a:effectLst/>
                  </c:spPr>
                </c15:leaderLines>
              </c:ext>
            </c:extLst>
          </c:dLbls>
          <c:cat>
            <c:strRef>
              <c:f>Sheet1!$A$1:$A$3</c:f>
              <c:strCache>
                <c:ptCount val="3"/>
                <c:pt idx="0">
                  <c:v>第一产业</c:v>
                </c:pt>
                <c:pt idx="1">
                  <c:v>第二产业</c:v>
                </c:pt>
                <c:pt idx="2">
                  <c:v>第三产业</c:v>
                </c:pt>
              </c:strCache>
            </c:strRef>
          </c:cat>
          <c:val>
            <c:numRef>
              <c:f>Sheet1!$B$1:$B$3</c:f>
              <c:numCache>
                <c:formatCode>General</c:formatCode>
                <c:ptCount val="3"/>
                <c:pt idx="0">
                  <c:v>15</c:v>
                </c:pt>
                <c:pt idx="1">
                  <c:v>50</c:v>
                </c:pt>
                <c:pt idx="2">
                  <c:v>35</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lang="zh-CN" sz="900" b="0" i="0" u="none" strike="noStrike" kern="1200" baseline="0">
              <a:solidFill>
                <a:schemeClr val="dk1">
                  <a:lumMod val="75000"/>
                  <a:lumOff val="25000"/>
                </a:schemeClr>
              </a:solidFill>
              <a:latin typeface="+mn-lt"/>
              <a:ea typeface="+mn-ea"/>
              <a:cs typeface="+mn-cs"/>
            </a:defRPr>
          </a:pPr>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prstDash val="solid"/>
      <a:round/>
    </a:ln>
    <a:effectLst/>
  </c:spPr>
  <c:txPr>
    <a:bodyPr/>
    <a:lstStyle/>
    <a:p>
      <a:pPr>
        <a:defRPr lang="zh-CN"/>
      </a:pPr>
    </a:p>
  </c:txPr>
  <c:externalData r:id="rId1">
    <c:autoUpdate val="0"/>
  </c:externalData>
</c:chartSpace>
</file>

<file path=word/diagrams/_rels/data1.xml.rels><?xml version="1.0" encoding="UTF-8" standalone="yes"?>
<Relationships xmlns="http://schemas.openxmlformats.org/package/2006/relationships"><Relationship Id="rId7" Type="http://schemas.openxmlformats.org/officeDocument/2006/relationships/image" Target="../media/image70.png"/><Relationship Id="rId6" Type="http://schemas.openxmlformats.org/officeDocument/2006/relationships/image" Target="../media/image69.jpeg"/><Relationship Id="rId5" Type="http://schemas.openxmlformats.org/officeDocument/2006/relationships/image" Target="../media/image68.png"/><Relationship Id="rId4" Type="http://schemas.openxmlformats.org/officeDocument/2006/relationships/image" Target="../media/image67.jpeg"/><Relationship Id="rId3" Type="http://schemas.openxmlformats.org/officeDocument/2006/relationships/image" Target="../media/image66.png"/><Relationship Id="rId2" Type="http://schemas.openxmlformats.org/officeDocument/2006/relationships/image" Target="../media/image65.jpeg"/><Relationship Id="rId1" Type="http://schemas.openxmlformats.org/officeDocument/2006/relationships/image" Target="../media/image64.jpeg"/></Relationships>
</file>

<file path=word/diagrams/_rels/drawing1.xml.rels><?xml version="1.0" encoding="UTF-8" standalone="yes"?>
<Relationships xmlns="http://schemas.openxmlformats.org/package/2006/relationships"><Relationship Id="rId7" Type="http://schemas.openxmlformats.org/officeDocument/2006/relationships/image" Target="../media/image67.jpeg"/><Relationship Id="rId6" Type="http://schemas.openxmlformats.org/officeDocument/2006/relationships/image" Target="../media/image66.png"/><Relationship Id="rId5" Type="http://schemas.openxmlformats.org/officeDocument/2006/relationships/image" Target="../media/image65.jpeg"/><Relationship Id="rId4" Type="http://schemas.openxmlformats.org/officeDocument/2006/relationships/image" Target="../media/image70.png"/><Relationship Id="rId3" Type="http://schemas.openxmlformats.org/officeDocument/2006/relationships/image" Target="../media/image69.jpeg"/><Relationship Id="rId2" Type="http://schemas.openxmlformats.org/officeDocument/2006/relationships/image" Target="../media/image68.png"/><Relationship Id="rId1" Type="http://schemas.openxmlformats.org/officeDocument/2006/relationships/image" Target="../media/image64.jpe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D47916F8-6532-463A-A1A7-AEB644CEE851}" type="doc">
      <dgm:prSet loTypeId="urn:microsoft.com/office/officeart/2008/layout/HexagonCluster" loCatId="relationship" qsTypeId="urn:microsoft.com/office/officeart/2005/8/quickstyle/3d1" qsCatId="3D" csTypeId="urn:microsoft.com/office/officeart/2005/8/colors/accent0_1" csCatId="mainScheme" phldr="1"/>
      <dgm:spPr/>
    </dgm:pt>
    <dgm:pt modelId="{DC6A4B08-5336-4307-9EE5-B243C9509689}">
      <dgm:prSet phldrT="[文本]" custT="1"/>
      <dgm:spPr>
        <a:solidFill>
          <a:schemeClr val="accent6">
            <a:lumMod val="40000"/>
            <a:lumOff val="60000"/>
          </a:schemeClr>
        </a:solidFill>
      </dgm:spPr>
      <dgm:t>
        <a:bodyPr/>
        <a:p>
          <a:r>
            <a:rPr lang="zh-CN" altLang="en-US" sz="1200" dirty="0"/>
            <a:t>新能源</a:t>
          </a:r>
        </a:p>
      </dgm:t>
    </dgm:pt>
    <dgm:pt modelId="{94573EC5-947A-402C-A7CC-82EFE4FBA63D}" cxnId="{70092A47-3FFD-4CA1-9788-5097B66CDD82}" type="parTrans">
      <dgm:prSet/>
      <dgm:spPr/>
      <dgm:t>
        <a:bodyPr/>
        <a:p>
          <a:endParaRPr lang="zh-CN" altLang="en-US" sz="1200">
            <a:solidFill>
              <a:schemeClr val="tx1"/>
            </a:solidFill>
          </a:endParaRPr>
        </a:p>
      </dgm:t>
    </dgm:pt>
    <dgm:pt modelId="{4F99AF03-EAAD-4451-803D-84774E8D100A}" cxnId="{70092A47-3FFD-4CA1-9788-5097B66CDD82}" type="sibTrans">
      <dgm:prSet/>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dgm:spPr>
      <dgm:t>
        <a:bodyPr/>
        <a:p>
          <a:endParaRPr lang="zh-CN" altLang="en-US" sz="1200">
            <a:solidFill>
              <a:schemeClr val="tx1"/>
            </a:solidFill>
          </a:endParaRPr>
        </a:p>
      </dgm:t>
    </dgm:pt>
    <dgm:pt modelId="{DC1A740C-7F92-4282-A84D-92610A7F01B6}">
      <dgm:prSet phldrT="[文本]" custT="1"/>
      <dgm:spPr/>
      <dgm:t>
        <a:bodyPr/>
        <a:p>
          <a:r>
            <a:rPr lang="zh-CN" altLang="en-US" sz="1200" dirty="0"/>
            <a:t>新一代信息技术</a:t>
          </a:r>
        </a:p>
      </dgm:t>
    </dgm:pt>
    <dgm:pt modelId="{8E397414-7D05-4B4E-AB31-A777475047FC}" cxnId="{CD44FB00-F2A7-48AE-A1EC-3979F69353E8}" type="parTrans">
      <dgm:prSet/>
      <dgm:spPr/>
      <dgm:t>
        <a:bodyPr/>
        <a:p>
          <a:endParaRPr lang="zh-CN" altLang="en-US" sz="1200"/>
        </a:p>
      </dgm:t>
    </dgm:pt>
    <dgm:pt modelId="{2AED6AE1-7304-43C7-9569-58BD8DB41DEE}" cxnId="{CD44FB00-F2A7-48AE-A1EC-3979F69353E8}" type="sibTrans">
      <dgm:prSet/>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dgm:spPr>
      <dgm:t>
        <a:bodyPr/>
        <a:p>
          <a:endParaRPr lang="zh-CN" altLang="en-US" sz="1200"/>
        </a:p>
      </dgm:t>
    </dgm:pt>
    <dgm:pt modelId="{0105C848-085B-4ABF-8640-58B4409C02B4}">
      <dgm:prSet phldrT="[文本]" custT="1"/>
      <dgm:spPr/>
      <dgm:t>
        <a:bodyPr/>
        <a:p>
          <a:r>
            <a:rPr lang="zh-CN" altLang="en-US" sz="1200" dirty="0"/>
            <a:t>生物医药</a:t>
          </a:r>
        </a:p>
      </dgm:t>
    </dgm:pt>
    <dgm:pt modelId="{C6CA1D8F-15CD-43D5-BBE1-4B8F30B09475}" cxnId="{E9643857-B204-4B95-A0F5-E73BC07A27A7}" type="parTrans">
      <dgm:prSet/>
      <dgm:spPr/>
      <dgm:t>
        <a:bodyPr/>
        <a:p>
          <a:endParaRPr lang="zh-CN" altLang="en-US" sz="1200"/>
        </a:p>
      </dgm:t>
    </dgm:pt>
    <dgm:pt modelId="{E6B97D5D-75D3-46E3-8C61-ABB3937FF066}" cxnId="{E9643857-B204-4B95-A0F5-E73BC07A27A7}" type="sibTrans">
      <dgm:prSet/>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dgm:spPr>
      <dgm:t>
        <a:bodyPr/>
        <a:p>
          <a:endParaRPr lang="zh-CN" altLang="en-US" sz="1200"/>
        </a:p>
      </dgm:t>
    </dgm:pt>
    <dgm:pt modelId="{6233F014-738E-4A68-B1D7-46AC293B65BA}">
      <dgm:prSet phldrT="[文本]" custT="1"/>
      <dgm:spPr/>
      <dgm:t>
        <a:bodyPr/>
        <a:p>
          <a:r>
            <a:rPr lang="zh-CN" altLang="en-US" sz="1200" dirty="0"/>
            <a:t>高端装备制造</a:t>
          </a:r>
        </a:p>
      </dgm:t>
    </dgm:pt>
    <dgm:pt modelId="{291DB282-3CB6-4750-8CC8-A87D2F7BF32B}" cxnId="{0E600A6F-5F16-40D8-BB6A-FC97F8CFBBCE}" type="parTrans">
      <dgm:prSet/>
      <dgm:spPr/>
      <dgm:t>
        <a:bodyPr/>
        <a:p>
          <a:endParaRPr lang="zh-CN" altLang="en-US" sz="1200"/>
        </a:p>
      </dgm:t>
    </dgm:pt>
    <dgm:pt modelId="{5D677247-2122-4AA3-B623-04464D555148}" cxnId="{0E600A6F-5F16-40D8-BB6A-FC97F8CFBBCE}" type="sibTrans">
      <dgm:prSet/>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a:stretch>
        </a:blipFill>
      </dgm:spPr>
      <dgm:t>
        <a:bodyPr/>
        <a:p>
          <a:endParaRPr lang="zh-CN" altLang="en-US" sz="1200"/>
        </a:p>
      </dgm:t>
    </dgm:pt>
    <dgm:pt modelId="{79B21BC7-3532-45A8-AB22-D3EE09B92D04}">
      <dgm:prSet phldrT="[文本]" custT="1"/>
      <dgm:spPr>
        <a:solidFill>
          <a:schemeClr val="accent2">
            <a:lumMod val="40000"/>
            <a:lumOff val="60000"/>
          </a:schemeClr>
        </a:solidFill>
      </dgm:spPr>
      <dgm:t>
        <a:bodyPr/>
        <a:p>
          <a:r>
            <a:rPr lang="zh-CN" altLang="en-US" sz="1200" dirty="0"/>
            <a:t>新材料</a:t>
          </a:r>
        </a:p>
      </dgm:t>
    </dgm:pt>
    <dgm:pt modelId="{17305BC9-8A0D-4778-A220-23F4F8DD9517}" cxnId="{1B3E4A3F-E6BF-4858-9F4D-3E644C64F533}" type="parTrans">
      <dgm:prSet/>
      <dgm:spPr/>
      <dgm:t>
        <a:bodyPr/>
        <a:p>
          <a:endParaRPr lang="zh-CN" altLang="en-US" sz="1200"/>
        </a:p>
      </dgm:t>
    </dgm:pt>
    <dgm:pt modelId="{1BB4A42A-B6EA-4421-94C0-6F85A6374E7D}" cxnId="{1B3E4A3F-E6BF-4858-9F4D-3E644C64F533}" type="sibTrans">
      <dgm:prSet/>
      <dgm:spPr>
        <a:blipFill>
          <a:blip xmlns:r="http://schemas.openxmlformats.org/officeDocument/2006/relationships" r:embed="rId5" cstate="print">
            <a:extLst>
              <a:ext uri="{28A0092B-C50C-407E-A947-70E740481C1C}">
                <a14:useLocalDpi xmlns:a14="http://schemas.microsoft.com/office/drawing/2010/main" val="0"/>
              </a:ext>
            </a:extLst>
          </a:blip>
          <a:srcRect/>
          <a:stretch>
            <a:fillRect/>
          </a:stretch>
        </a:blipFill>
      </dgm:spPr>
      <dgm:t>
        <a:bodyPr/>
        <a:p>
          <a:endParaRPr lang="zh-CN" altLang="en-US" sz="1200"/>
        </a:p>
      </dgm:t>
    </dgm:pt>
    <dgm:pt modelId="{8EDE5D21-4B14-4BBE-AE67-67A662003C3F}">
      <dgm:prSet phldrT="[文本]" custT="1"/>
      <dgm:spPr>
        <a:solidFill>
          <a:schemeClr val="accent4">
            <a:lumMod val="40000"/>
            <a:lumOff val="60000"/>
          </a:schemeClr>
        </a:solidFill>
      </dgm:spPr>
      <dgm:t>
        <a:bodyPr/>
        <a:p>
          <a:r>
            <a:rPr lang="zh-CN" altLang="en-US" sz="1200" dirty="0"/>
            <a:t>新能源汽车</a:t>
          </a:r>
          <a:endParaRPr lang="zh-CN" altLang="en-US" sz="1200"/>
        </a:p>
      </dgm:t>
    </dgm:pt>
    <dgm:pt modelId="{89C0517E-7761-48B7-BC27-437BDDC5236A}" cxnId="{15F35F57-DFAC-4ADF-AE5F-DDFC940004DB}" type="parTrans">
      <dgm:prSet/>
      <dgm:spPr/>
      <dgm:t>
        <a:bodyPr/>
        <a:p>
          <a:endParaRPr lang="zh-CN" altLang="en-US" sz="1200"/>
        </a:p>
      </dgm:t>
    </dgm:pt>
    <dgm:pt modelId="{521AF9FE-90C4-4FD0-82C0-D28DCFD9847F}" cxnId="{15F35F57-DFAC-4ADF-AE5F-DDFC940004DB}" type="sibTrans">
      <dgm:prSet/>
      <dgm:spPr>
        <a:blipFill>
          <a:blip xmlns:r="http://schemas.openxmlformats.org/officeDocument/2006/relationships" r:embed="rId6" cstate="print">
            <a:extLst>
              <a:ext uri="{28A0092B-C50C-407E-A947-70E740481C1C}">
                <a14:useLocalDpi xmlns:a14="http://schemas.microsoft.com/office/drawing/2010/main" val="0"/>
              </a:ext>
            </a:extLst>
          </a:blip>
          <a:srcRect/>
          <a:stretch>
            <a:fillRect/>
          </a:stretch>
        </a:blipFill>
      </dgm:spPr>
      <dgm:t>
        <a:bodyPr/>
        <a:p>
          <a:endParaRPr lang="zh-CN" altLang="en-US" sz="1200"/>
        </a:p>
      </dgm:t>
    </dgm:pt>
    <dgm:pt modelId="{26EDCC8C-C467-48A8-BD55-47D6AC31045F}">
      <dgm:prSet phldrT="[文本]" custT="1"/>
      <dgm:spPr/>
      <dgm:t>
        <a:bodyPr/>
        <a:p>
          <a:r>
            <a:rPr lang="zh-CN" altLang="en-US" sz="1200"/>
            <a:t>节能</a:t>
          </a:r>
          <a:r>
            <a:rPr lang="zh-CN" altLang="en-US" sz="1200" dirty="0"/>
            <a:t>环保</a:t>
          </a:r>
        </a:p>
      </dgm:t>
    </dgm:pt>
    <dgm:pt modelId="{E225294F-CA7E-4AAF-8CDF-5976B363464F}" cxnId="{B29FC551-2AF5-49E1-BC7E-E321671917E5}" type="parTrans">
      <dgm:prSet/>
      <dgm:spPr/>
      <dgm:t>
        <a:bodyPr/>
        <a:p>
          <a:endParaRPr lang="zh-CN" altLang="en-US" sz="1200"/>
        </a:p>
      </dgm:t>
    </dgm:pt>
    <dgm:pt modelId="{1E4532F6-70CC-4FEC-97EA-F6BACDBC721B}" cxnId="{B29FC551-2AF5-49E1-BC7E-E321671917E5}" type="sibTrans">
      <dgm:prSet/>
      <dgm:spPr>
        <a:blipFill>
          <a:blip xmlns:r="http://schemas.openxmlformats.org/officeDocument/2006/relationships" r:embed="rId7" cstate="print">
            <a:extLst>
              <a:ext uri="{28A0092B-C50C-407E-A947-70E740481C1C}">
                <a14:useLocalDpi xmlns:a14="http://schemas.microsoft.com/office/drawing/2010/main" val="0"/>
              </a:ext>
            </a:extLst>
          </a:blip>
          <a:srcRect/>
          <a:stretch>
            <a:fillRect/>
          </a:stretch>
        </a:blipFill>
      </dgm:spPr>
      <dgm:t>
        <a:bodyPr/>
        <a:p>
          <a:endParaRPr lang="zh-CN" altLang="en-US" sz="1200"/>
        </a:p>
      </dgm:t>
    </dgm:pt>
    <dgm:pt modelId="{1433A6BF-37E9-4C14-9E79-96974AE93A1A}" type="pres">
      <dgm:prSet presAssocID="{D47916F8-6532-463A-A1A7-AEB644CEE851}" presName="Name0" presStyleCnt="0">
        <dgm:presLayoutVars>
          <dgm:chMax val="21"/>
          <dgm:chPref val="21"/>
        </dgm:presLayoutVars>
      </dgm:prSet>
      <dgm:spPr/>
    </dgm:pt>
    <dgm:pt modelId="{541D9ED0-9C09-46D9-A0DD-B8A1C21894D3}" type="pres">
      <dgm:prSet presAssocID="{DC6A4B08-5336-4307-9EE5-B243C9509689}" presName="text1" presStyleCnt="0"/>
      <dgm:spPr/>
    </dgm:pt>
    <dgm:pt modelId="{A4C9C4A9-FD1B-419A-A353-47F4CFDD68D6}" type="pres">
      <dgm:prSet presAssocID="{DC6A4B08-5336-4307-9EE5-B243C9509689}" presName="textRepeatNode" presStyleLbl="alignNode1" presStyleIdx="0" presStyleCnt="7">
        <dgm:presLayoutVars>
          <dgm:chMax val="0"/>
          <dgm:chPref val="0"/>
          <dgm:bulletEnabled val="1"/>
        </dgm:presLayoutVars>
      </dgm:prSet>
      <dgm:spPr/>
      <dgm:t>
        <a:bodyPr/>
        <a:p>
          <a:endParaRPr lang="zh-CN" altLang="en-US"/>
        </a:p>
      </dgm:t>
    </dgm:pt>
    <dgm:pt modelId="{A5F98D23-334D-4EAC-AAB0-0C77B1BAED22}" type="pres">
      <dgm:prSet presAssocID="{DC6A4B08-5336-4307-9EE5-B243C9509689}" presName="textaccent1" presStyleCnt="0"/>
      <dgm:spPr/>
    </dgm:pt>
    <dgm:pt modelId="{4A9D61E9-94C7-4CB4-8169-B314D166ADCC}" type="pres">
      <dgm:prSet presAssocID="{DC6A4B08-5336-4307-9EE5-B243C9509689}" presName="accentRepeatNode" presStyleLbl="solidAlignAcc1" presStyleIdx="0" presStyleCnt="14"/>
      <dgm:spPr/>
    </dgm:pt>
    <dgm:pt modelId="{0D44214A-98C3-44FA-B9EB-5FFB8E4B5F1F}" type="pres">
      <dgm:prSet presAssocID="{4F99AF03-EAAD-4451-803D-84774E8D100A}" presName="image1" presStyleCnt="0"/>
      <dgm:spPr/>
    </dgm:pt>
    <dgm:pt modelId="{A0A277CD-C70C-4FD2-A10B-832E5489409D}" type="pres">
      <dgm:prSet presAssocID="{4F99AF03-EAAD-4451-803D-84774E8D100A}" presName="imageRepeatNode" presStyleLbl="alignAcc1" presStyleIdx="0" presStyleCnt="7"/>
      <dgm:spPr/>
      <dgm:t>
        <a:bodyPr/>
        <a:p>
          <a:endParaRPr lang="zh-CN" altLang="en-US"/>
        </a:p>
      </dgm:t>
    </dgm:pt>
    <dgm:pt modelId="{CB60036A-7985-4C9F-9C2E-9B9D68FBBE1A}" type="pres">
      <dgm:prSet presAssocID="{4F99AF03-EAAD-4451-803D-84774E8D100A}" presName="imageaccent1" presStyleCnt="0"/>
      <dgm:spPr/>
    </dgm:pt>
    <dgm:pt modelId="{993EF12B-D919-40D5-898B-852DECA3802D}" type="pres">
      <dgm:prSet presAssocID="{4F99AF03-EAAD-4451-803D-84774E8D100A}" presName="accentRepeatNode" presStyleLbl="solidAlignAcc1" presStyleIdx="1" presStyleCnt="14"/>
      <dgm:spPr/>
    </dgm:pt>
    <dgm:pt modelId="{01BF1728-B662-4B9A-8BC1-BCE7947D18D2}" type="pres">
      <dgm:prSet presAssocID="{79B21BC7-3532-45A8-AB22-D3EE09B92D04}" presName="text2" presStyleCnt="0"/>
      <dgm:spPr/>
    </dgm:pt>
    <dgm:pt modelId="{1B883AAB-FC1D-465B-8206-FAA73BC0DEAE}" type="pres">
      <dgm:prSet presAssocID="{79B21BC7-3532-45A8-AB22-D3EE09B92D04}" presName="textRepeatNode" presStyleLbl="alignNode1" presStyleIdx="1" presStyleCnt="7">
        <dgm:presLayoutVars>
          <dgm:chMax val="0"/>
          <dgm:chPref val="0"/>
          <dgm:bulletEnabled val="1"/>
        </dgm:presLayoutVars>
      </dgm:prSet>
      <dgm:spPr/>
      <dgm:t>
        <a:bodyPr/>
        <a:p>
          <a:endParaRPr lang="zh-CN" altLang="en-US"/>
        </a:p>
      </dgm:t>
    </dgm:pt>
    <dgm:pt modelId="{22E9FD91-4BA4-405F-943E-9A9FA33ACB85}" type="pres">
      <dgm:prSet presAssocID="{79B21BC7-3532-45A8-AB22-D3EE09B92D04}" presName="textaccent2" presStyleCnt="0"/>
      <dgm:spPr/>
    </dgm:pt>
    <dgm:pt modelId="{AEE48318-CF2A-4287-BA94-1AF87666C9F3}" type="pres">
      <dgm:prSet presAssocID="{79B21BC7-3532-45A8-AB22-D3EE09B92D04}" presName="accentRepeatNode" presStyleLbl="solidAlignAcc1" presStyleIdx="2" presStyleCnt="14"/>
      <dgm:spPr/>
    </dgm:pt>
    <dgm:pt modelId="{01A8FAB5-2915-463C-806D-75FA552C8770}" type="pres">
      <dgm:prSet presAssocID="{1BB4A42A-B6EA-4421-94C0-6F85A6374E7D}" presName="image2" presStyleCnt="0"/>
      <dgm:spPr/>
    </dgm:pt>
    <dgm:pt modelId="{A8AB5D51-FE38-419B-B143-618013F221B9}" type="pres">
      <dgm:prSet presAssocID="{1BB4A42A-B6EA-4421-94C0-6F85A6374E7D}" presName="imageRepeatNode" presStyleLbl="alignAcc1" presStyleIdx="1" presStyleCnt="7"/>
      <dgm:spPr/>
      <dgm:t>
        <a:bodyPr/>
        <a:p>
          <a:endParaRPr lang="zh-CN" altLang="en-US"/>
        </a:p>
      </dgm:t>
    </dgm:pt>
    <dgm:pt modelId="{147C7302-B6AC-4500-9263-F2148A33FF27}" type="pres">
      <dgm:prSet presAssocID="{1BB4A42A-B6EA-4421-94C0-6F85A6374E7D}" presName="imageaccent2" presStyleCnt="0"/>
      <dgm:spPr/>
    </dgm:pt>
    <dgm:pt modelId="{F059B7A8-3612-4696-A1E0-88DB6AA6006C}" type="pres">
      <dgm:prSet presAssocID="{1BB4A42A-B6EA-4421-94C0-6F85A6374E7D}" presName="accentRepeatNode" presStyleLbl="solidAlignAcc1" presStyleIdx="3" presStyleCnt="14"/>
      <dgm:spPr/>
    </dgm:pt>
    <dgm:pt modelId="{FDE573C7-3C8C-4797-ACD8-D18743A38D03}" type="pres">
      <dgm:prSet presAssocID="{8EDE5D21-4B14-4BBE-AE67-67A662003C3F}" presName="text3" presStyleCnt="0"/>
      <dgm:spPr/>
    </dgm:pt>
    <dgm:pt modelId="{2F3C17EF-0EF6-45A1-AF0D-0023B71C87D1}" type="pres">
      <dgm:prSet presAssocID="{8EDE5D21-4B14-4BBE-AE67-67A662003C3F}" presName="textRepeatNode" presStyleLbl="alignNode1" presStyleIdx="2" presStyleCnt="7">
        <dgm:presLayoutVars>
          <dgm:chMax val="0"/>
          <dgm:chPref val="0"/>
          <dgm:bulletEnabled val="1"/>
        </dgm:presLayoutVars>
      </dgm:prSet>
      <dgm:spPr/>
      <dgm:t>
        <a:bodyPr/>
        <a:p>
          <a:endParaRPr lang="zh-CN" altLang="en-US"/>
        </a:p>
      </dgm:t>
    </dgm:pt>
    <dgm:pt modelId="{9BB77D28-E0F5-480C-BA63-6F5AA92001BF}" type="pres">
      <dgm:prSet presAssocID="{8EDE5D21-4B14-4BBE-AE67-67A662003C3F}" presName="textaccent3" presStyleCnt="0"/>
      <dgm:spPr/>
    </dgm:pt>
    <dgm:pt modelId="{5C12F652-9E0B-46AA-9F36-7A19548DD82B}" type="pres">
      <dgm:prSet presAssocID="{8EDE5D21-4B14-4BBE-AE67-67A662003C3F}" presName="accentRepeatNode" presStyleLbl="solidAlignAcc1" presStyleIdx="4" presStyleCnt="14"/>
      <dgm:spPr/>
    </dgm:pt>
    <dgm:pt modelId="{D1613D44-7D85-455F-8B7B-2EC822AE4A19}" type="pres">
      <dgm:prSet presAssocID="{521AF9FE-90C4-4FD0-82C0-D28DCFD9847F}" presName="image3" presStyleCnt="0"/>
      <dgm:spPr/>
    </dgm:pt>
    <dgm:pt modelId="{05419E0E-B7E6-4FBC-9706-1EF5C57186EB}" type="pres">
      <dgm:prSet presAssocID="{521AF9FE-90C4-4FD0-82C0-D28DCFD9847F}" presName="imageRepeatNode" presStyleLbl="alignAcc1" presStyleIdx="2" presStyleCnt="7"/>
      <dgm:spPr/>
      <dgm:t>
        <a:bodyPr/>
        <a:p>
          <a:endParaRPr lang="zh-CN" altLang="en-US"/>
        </a:p>
      </dgm:t>
    </dgm:pt>
    <dgm:pt modelId="{D0471774-EA3A-4149-893D-4B79E55AC618}" type="pres">
      <dgm:prSet presAssocID="{521AF9FE-90C4-4FD0-82C0-D28DCFD9847F}" presName="imageaccent3" presStyleCnt="0"/>
      <dgm:spPr/>
    </dgm:pt>
    <dgm:pt modelId="{23E9F7AC-EA56-4AD4-9F3A-4043B4D7BCD0}" type="pres">
      <dgm:prSet presAssocID="{521AF9FE-90C4-4FD0-82C0-D28DCFD9847F}" presName="accentRepeatNode" presStyleLbl="solidAlignAcc1" presStyleIdx="5" presStyleCnt="14"/>
      <dgm:spPr/>
    </dgm:pt>
    <dgm:pt modelId="{13DD803E-F716-4FF7-8648-D188A79DFC19}" type="pres">
      <dgm:prSet presAssocID="{26EDCC8C-C467-48A8-BD55-47D6AC31045F}" presName="text4" presStyleCnt="0"/>
      <dgm:spPr/>
    </dgm:pt>
    <dgm:pt modelId="{C20145AF-3DF7-4920-8A12-C87C2CDBED99}" type="pres">
      <dgm:prSet presAssocID="{26EDCC8C-C467-48A8-BD55-47D6AC31045F}" presName="textRepeatNode" presStyleLbl="alignNode1" presStyleIdx="3" presStyleCnt="7">
        <dgm:presLayoutVars>
          <dgm:chMax val="0"/>
          <dgm:chPref val="0"/>
          <dgm:bulletEnabled val="1"/>
        </dgm:presLayoutVars>
      </dgm:prSet>
      <dgm:spPr/>
      <dgm:t>
        <a:bodyPr/>
        <a:p>
          <a:endParaRPr lang="zh-CN" altLang="en-US"/>
        </a:p>
      </dgm:t>
    </dgm:pt>
    <dgm:pt modelId="{610A8BA8-9B19-48B8-B07A-AA2B5278DB1A}" type="pres">
      <dgm:prSet presAssocID="{26EDCC8C-C467-48A8-BD55-47D6AC31045F}" presName="textaccent4" presStyleCnt="0"/>
      <dgm:spPr/>
    </dgm:pt>
    <dgm:pt modelId="{3DE2DAF2-1196-43D3-BA1C-79E823B64F71}" type="pres">
      <dgm:prSet presAssocID="{26EDCC8C-C467-48A8-BD55-47D6AC31045F}" presName="accentRepeatNode" presStyleLbl="solidAlignAcc1" presStyleIdx="6" presStyleCnt="14"/>
      <dgm:spPr/>
    </dgm:pt>
    <dgm:pt modelId="{F8F9DDC0-F69D-4B08-B228-1584ED18B83C}" type="pres">
      <dgm:prSet presAssocID="{1E4532F6-70CC-4FEC-97EA-F6BACDBC721B}" presName="image4" presStyleCnt="0"/>
      <dgm:spPr/>
    </dgm:pt>
    <dgm:pt modelId="{EF3781FC-0797-4EBB-BF97-78B13CEDDFAE}" type="pres">
      <dgm:prSet presAssocID="{1E4532F6-70CC-4FEC-97EA-F6BACDBC721B}" presName="imageRepeatNode" presStyleLbl="alignAcc1" presStyleIdx="3" presStyleCnt="7"/>
      <dgm:spPr/>
      <dgm:t>
        <a:bodyPr/>
        <a:p>
          <a:endParaRPr lang="zh-CN" altLang="en-US"/>
        </a:p>
      </dgm:t>
    </dgm:pt>
    <dgm:pt modelId="{A63D1B4E-8F9E-4C01-B9B5-6516EFBC805E}" type="pres">
      <dgm:prSet presAssocID="{1E4532F6-70CC-4FEC-97EA-F6BACDBC721B}" presName="imageaccent4" presStyleCnt="0"/>
      <dgm:spPr/>
    </dgm:pt>
    <dgm:pt modelId="{AEC3D0E5-7812-4D5A-8687-062DDE331EEE}" type="pres">
      <dgm:prSet presAssocID="{1E4532F6-70CC-4FEC-97EA-F6BACDBC721B}" presName="accentRepeatNode" presStyleLbl="solidAlignAcc1" presStyleIdx="7" presStyleCnt="14"/>
      <dgm:spPr/>
    </dgm:pt>
    <dgm:pt modelId="{AD22CA37-7E20-4EED-82DE-CB6AA83ADE74}" type="pres">
      <dgm:prSet presAssocID="{DC1A740C-7F92-4282-A84D-92610A7F01B6}" presName="text5" presStyleCnt="0"/>
      <dgm:spPr/>
    </dgm:pt>
    <dgm:pt modelId="{8790B057-A559-4AC3-AB8C-D6CE3900F101}" type="pres">
      <dgm:prSet presAssocID="{DC1A740C-7F92-4282-A84D-92610A7F01B6}" presName="textRepeatNode" presStyleLbl="alignNode1" presStyleIdx="4" presStyleCnt="7">
        <dgm:presLayoutVars>
          <dgm:chMax val="0"/>
          <dgm:chPref val="0"/>
          <dgm:bulletEnabled val="1"/>
        </dgm:presLayoutVars>
      </dgm:prSet>
      <dgm:spPr/>
      <dgm:t>
        <a:bodyPr/>
        <a:p>
          <a:endParaRPr lang="zh-CN" altLang="en-US"/>
        </a:p>
      </dgm:t>
    </dgm:pt>
    <dgm:pt modelId="{757D9AD5-BAD8-4606-B063-295AEC7D33C9}" type="pres">
      <dgm:prSet presAssocID="{DC1A740C-7F92-4282-A84D-92610A7F01B6}" presName="textaccent5" presStyleCnt="0"/>
      <dgm:spPr/>
    </dgm:pt>
    <dgm:pt modelId="{70CBDCD5-BA41-41BC-9C14-35A1122FCB37}" type="pres">
      <dgm:prSet presAssocID="{DC1A740C-7F92-4282-A84D-92610A7F01B6}" presName="accentRepeatNode" presStyleLbl="solidAlignAcc1" presStyleIdx="8" presStyleCnt="14"/>
      <dgm:spPr/>
    </dgm:pt>
    <dgm:pt modelId="{B7649239-3835-44A3-9E3E-83B428EFAE2A}" type="pres">
      <dgm:prSet presAssocID="{2AED6AE1-7304-43C7-9569-58BD8DB41DEE}" presName="image5" presStyleCnt="0"/>
      <dgm:spPr/>
    </dgm:pt>
    <dgm:pt modelId="{8EA6D940-30EA-41B2-A309-03B59F7F591A}" type="pres">
      <dgm:prSet presAssocID="{2AED6AE1-7304-43C7-9569-58BD8DB41DEE}" presName="imageRepeatNode" presStyleLbl="alignAcc1" presStyleIdx="4" presStyleCnt="7"/>
      <dgm:spPr/>
      <dgm:t>
        <a:bodyPr/>
        <a:p>
          <a:endParaRPr lang="zh-CN" altLang="en-US"/>
        </a:p>
      </dgm:t>
    </dgm:pt>
    <dgm:pt modelId="{FD57890D-0F5C-4DE4-8B02-EBB3CE163C80}" type="pres">
      <dgm:prSet presAssocID="{2AED6AE1-7304-43C7-9569-58BD8DB41DEE}" presName="imageaccent5" presStyleCnt="0"/>
      <dgm:spPr/>
    </dgm:pt>
    <dgm:pt modelId="{4FB58F03-A0B9-45EA-B99D-2E250E8E2192}" type="pres">
      <dgm:prSet presAssocID="{2AED6AE1-7304-43C7-9569-58BD8DB41DEE}" presName="accentRepeatNode" presStyleLbl="solidAlignAcc1" presStyleIdx="9" presStyleCnt="14"/>
      <dgm:spPr/>
    </dgm:pt>
    <dgm:pt modelId="{FF865F44-C420-48D4-A4EB-2BE7B68E663E}" type="pres">
      <dgm:prSet presAssocID="{0105C848-085B-4ABF-8640-58B4409C02B4}" presName="text6" presStyleCnt="0"/>
      <dgm:spPr/>
    </dgm:pt>
    <dgm:pt modelId="{8B14BEAF-BA30-4E7B-8D15-D3D036EF9AB0}" type="pres">
      <dgm:prSet presAssocID="{0105C848-085B-4ABF-8640-58B4409C02B4}" presName="textRepeatNode" presStyleLbl="alignNode1" presStyleIdx="5" presStyleCnt="7">
        <dgm:presLayoutVars>
          <dgm:chMax val="0"/>
          <dgm:chPref val="0"/>
          <dgm:bulletEnabled val="1"/>
        </dgm:presLayoutVars>
      </dgm:prSet>
      <dgm:spPr/>
      <dgm:t>
        <a:bodyPr/>
        <a:p>
          <a:endParaRPr lang="zh-CN" altLang="en-US"/>
        </a:p>
      </dgm:t>
    </dgm:pt>
    <dgm:pt modelId="{46855068-6B35-4369-A5BD-5747B568C209}" type="pres">
      <dgm:prSet presAssocID="{0105C848-085B-4ABF-8640-58B4409C02B4}" presName="textaccent6" presStyleCnt="0"/>
      <dgm:spPr/>
    </dgm:pt>
    <dgm:pt modelId="{C46B4D9E-0480-4980-9139-33FFAA11D9A3}" type="pres">
      <dgm:prSet presAssocID="{0105C848-085B-4ABF-8640-58B4409C02B4}" presName="accentRepeatNode" presStyleLbl="solidAlignAcc1" presStyleIdx="10" presStyleCnt="14"/>
      <dgm:spPr/>
    </dgm:pt>
    <dgm:pt modelId="{DAFD4085-8CBB-4903-920F-DAA49B67D8FD}" type="pres">
      <dgm:prSet presAssocID="{E6B97D5D-75D3-46E3-8C61-ABB3937FF066}" presName="image6" presStyleCnt="0"/>
      <dgm:spPr/>
    </dgm:pt>
    <dgm:pt modelId="{54BF9BA6-2D63-4FA5-9516-E227942EAED8}" type="pres">
      <dgm:prSet presAssocID="{E6B97D5D-75D3-46E3-8C61-ABB3937FF066}" presName="imageRepeatNode" presStyleLbl="alignAcc1" presStyleIdx="5" presStyleCnt="7"/>
      <dgm:spPr/>
      <dgm:t>
        <a:bodyPr/>
        <a:p>
          <a:endParaRPr lang="zh-CN" altLang="en-US"/>
        </a:p>
      </dgm:t>
    </dgm:pt>
    <dgm:pt modelId="{3356D3E4-5452-469B-853F-87863FCA0FBE}" type="pres">
      <dgm:prSet presAssocID="{E6B97D5D-75D3-46E3-8C61-ABB3937FF066}" presName="imageaccent6" presStyleCnt="0"/>
      <dgm:spPr/>
    </dgm:pt>
    <dgm:pt modelId="{BEDB8BE9-4FEF-4BD4-A58B-EF6318AC29C0}" type="pres">
      <dgm:prSet presAssocID="{E6B97D5D-75D3-46E3-8C61-ABB3937FF066}" presName="accentRepeatNode" presStyleLbl="solidAlignAcc1" presStyleIdx="11" presStyleCnt="14"/>
      <dgm:spPr/>
    </dgm:pt>
    <dgm:pt modelId="{C2661C9D-8B7A-42B8-AEC8-239EE8F53B79}" type="pres">
      <dgm:prSet presAssocID="{6233F014-738E-4A68-B1D7-46AC293B65BA}" presName="text7" presStyleCnt="0"/>
      <dgm:spPr/>
    </dgm:pt>
    <dgm:pt modelId="{6CC36613-5BF1-47F7-837A-C043A4FDC968}" type="pres">
      <dgm:prSet presAssocID="{6233F014-738E-4A68-B1D7-46AC293B65BA}" presName="textRepeatNode" presStyleLbl="alignNode1" presStyleIdx="6" presStyleCnt="7">
        <dgm:presLayoutVars>
          <dgm:chMax val="0"/>
          <dgm:chPref val="0"/>
          <dgm:bulletEnabled val="1"/>
        </dgm:presLayoutVars>
      </dgm:prSet>
      <dgm:spPr/>
      <dgm:t>
        <a:bodyPr/>
        <a:p>
          <a:endParaRPr lang="zh-CN" altLang="en-US"/>
        </a:p>
      </dgm:t>
    </dgm:pt>
    <dgm:pt modelId="{A353993B-DFA5-4B20-8DDD-2CA87DE2C4D4}" type="pres">
      <dgm:prSet presAssocID="{6233F014-738E-4A68-B1D7-46AC293B65BA}" presName="textaccent7" presStyleCnt="0"/>
      <dgm:spPr/>
    </dgm:pt>
    <dgm:pt modelId="{7F950C00-EE1E-4EF1-9D13-F48527A9F64E}" type="pres">
      <dgm:prSet presAssocID="{6233F014-738E-4A68-B1D7-46AC293B65BA}" presName="accentRepeatNode" presStyleLbl="solidAlignAcc1" presStyleIdx="12" presStyleCnt="14"/>
      <dgm:spPr/>
    </dgm:pt>
    <dgm:pt modelId="{C01075E4-BC67-4F90-8F0C-1869CF68E09C}" type="pres">
      <dgm:prSet presAssocID="{5D677247-2122-4AA3-B623-04464D555148}" presName="image7" presStyleCnt="0"/>
      <dgm:spPr/>
    </dgm:pt>
    <dgm:pt modelId="{35EC35E3-72FA-4258-90CD-2820113D2149}" type="pres">
      <dgm:prSet presAssocID="{5D677247-2122-4AA3-B623-04464D555148}" presName="imageRepeatNode" presStyleLbl="alignAcc1" presStyleIdx="6" presStyleCnt="7"/>
      <dgm:spPr/>
      <dgm:t>
        <a:bodyPr/>
        <a:p>
          <a:endParaRPr lang="zh-CN" altLang="en-US"/>
        </a:p>
      </dgm:t>
    </dgm:pt>
    <dgm:pt modelId="{7ED52054-FEEC-4623-B855-F65F194FF658}" type="pres">
      <dgm:prSet presAssocID="{5D677247-2122-4AA3-B623-04464D555148}" presName="imageaccent7" presStyleCnt="0"/>
      <dgm:spPr/>
    </dgm:pt>
    <dgm:pt modelId="{95F1F12E-4528-4668-92D6-B5E07EF74822}" type="pres">
      <dgm:prSet presAssocID="{5D677247-2122-4AA3-B623-04464D555148}" presName="accentRepeatNode" presStyleLbl="solidAlignAcc1" presStyleIdx="13" presStyleCnt="14"/>
      <dgm:spPr/>
    </dgm:pt>
  </dgm:ptLst>
  <dgm:cxnLst>
    <dgm:cxn modelId="{7965FDA6-7A49-4E92-81EF-0CEB9809F2BB}" type="presOf" srcId="{1BB4A42A-B6EA-4421-94C0-6F85A6374E7D}" destId="{A8AB5D51-FE38-419B-B143-618013F221B9}" srcOrd="0" destOrd="0" presId="urn:microsoft.com/office/officeart/2008/layout/HexagonCluster"/>
    <dgm:cxn modelId="{83D14CEC-D09F-4C11-B277-BFB55D243601}" type="presOf" srcId="{DC6A4B08-5336-4307-9EE5-B243C9509689}" destId="{A4C9C4A9-FD1B-419A-A353-47F4CFDD68D6}" srcOrd="0" destOrd="0" presId="urn:microsoft.com/office/officeart/2008/layout/HexagonCluster"/>
    <dgm:cxn modelId="{B29FC551-2AF5-49E1-BC7E-E321671917E5}" srcId="{D47916F8-6532-463A-A1A7-AEB644CEE851}" destId="{26EDCC8C-C467-48A8-BD55-47D6AC31045F}" srcOrd="3" destOrd="0" parTransId="{E225294F-CA7E-4AAF-8CDF-5976B363464F}" sibTransId="{1E4532F6-70CC-4FEC-97EA-F6BACDBC721B}"/>
    <dgm:cxn modelId="{2FEB2CC6-56FC-4007-9E0B-0E08277D6413}" type="presOf" srcId="{D47916F8-6532-463A-A1A7-AEB644CEE851}" destId="{1433A6BF-37E9-4C14-9E79-96974AE93A1A}" srcOrd="0" destOrd="0" presId="urn:microsoft.com/office/officeart/2008/layout/HexagonCluster"/>
    <dgm:cxn modelId="{F634DA26-14E5-4F5F-BE92-29D211F805FB}" type="presOf" srcId="{E6B97D5D-75D3-46E3-8C61-ABB3937FF066}" destId="{54BF9BA6-2D63-4FA5-9516-E227942EAED8}" srcOrd="0" destOrd="0" presId="urn:microsoft.com/office/officeart/2008/layout/HexagonCluster"/>
    <dgm:cxn modelId="{2CC9B3D7-F236-4858-8A05-7FD20984D01B}" type="presOf" srcId="{1E4532F6-70CC-4FEC-97EA-F6BACDBC721B}" destId="{EF3781FC-0797-4EBB-BF97-78B13CEDDFAE}" srcOrd="0" destOrd="0" presId="urn:microsoft.com/office/officeart/2008/layout/HexagonCluster"/>
    <dgm:cxn modelId="{1B3E4A3F-E6BF-4858-9F4D-3E644C64F533}" srcId="{D47916F8-6532-463A-A1A7-AEB644CEE851}" destId="{79B21BC7-3532-45A8-AB22-D3EE09B92D04}" srcOrd="1" destOrd="0" parTransId="{17305BC9-8A0D-4778-A220-23F4F8DD9517}" sibTransId="{1BB4A42A-B6EA-4421-94C0-6F85A6374E7D}"/>
    <dgm:cxn modelId="{0D87DA20-6341-430A-814C-F8D5F7A8347F}" type="presOf" srcId="{26EDCC8C-C467-48A8-BD55-47D6AC31045F}" destId="{C20145AF-3DF7-4920-8A12-C87C2CDBED99}" srcOrd="0" destOrd="0" presId="urn:microsoft.com/office/officeart/2008/layout/HexagonCluster"/>
    <dgm:cxn modelId="{15F35F57-DFAC-4ADF-AE5F-DDFC940004DB}" srcId="{D47916F8-6532-463A-A1A7-AEB644CEE851}" destId="{8EDE5D21-4B14-4BBE-AE67-67A662003C3F}" srcOrd="2" destOrd="0" parTransId="{89C0517E-7761-48B7-BC27-437BDDC5236A}" sibTransId="{521AF9FE-90C4-4FD0-82C0-D28DCFD9847F}"/>
    <dgm:cxn modelId="{BDD36A44-A9B5-473F-A800-2B2C4D664BF7}" type="presOf" srcId="{DC1A740C-7F92-4282-A84D-92610A7F01B6}" destId="{8790B057-A559-4AC3-AB8C-D6CE3900F101}" srcOrd="0" destOrd="0" presId="urn:microsoft.com/office/officeart/2008/layout/HexagonCluster"/>
    <dgm:cxn modelId="{0585598D-2BB9-444B-8E05-FBF253AADEBD}" type="presOf" srcId="{6233F014-738E-4A68-B1D7-46AC293B65BA}" destId="{6CC36613-5BF1-47F7-837A-C043A4FDC968}" srcOrd="0" destOrd="0" presId="urn:microsoft.com/office/officeart/2008/layout/HexagonCluster"/>
    <dgm:cxn modelId="{00C557E8-7CE6-4D5A-84DE-7B8A14C535D7}" type="presOf" srcId="{2AED6AE1-7304-43C7-9569-58BD8DB41DEE}" destId="{8EA6D940-30EA-41B2-A309-03B59F7F591A}" srcOrd="0" destOrd="0" presId="urn:microsoft.com/office/officeart/2008/layout/HexagonCluster"/>
    <dgm:cxn modelId="{3A7B0D05-4F31-4ECD-8228-47293051A0C3}" type="presOf" srcId="{0105C848-085B-4ABF-8640-58B4409C02B4}" destId="{8B14BEAF-BA30-4E7B-8D15-D3D036EF9AB0}" srcOrd="0" destOrd="0" presId="urn:microsoft.com/office/officeart/2008/layout/HexagonCluster"/>
    <dgm:cxn modelId="{CD44FB00-F2A7-48AE-A1EC-3979F69353E8}" srcId="{D47916F8-6532-463A-A1A7-AEB644CEE851}" destId="{DC1A740C-7F92-4282-A84D-92610A7F01B6}" srcOrd="4" destOrd="0" parTransId="{8E397414-7D05-4B4E-AB31-A777475047FC}" sibTransId="{2AED6AE1-7304-43C7-9569-58BD8DB41DEE}"/>
    <dgm:cxn modelId="{70092A47-3FFD-4CA1-9788-5097B66CDD82}" srcId="{D47916F8-6532-463A-A1A7-AEB644CEE851}" destId="{DC6A4B08-5336-4307-9EE5-B243C9509689}" srcOrd="0" destOrd="0" parTransId="{94573EC5-947A-402C-A7CC-82EFE4FBA63D}" sibTransId="{4F99AF03-EAAD-4451-803D-84774E8D100A}"/>
    <dgm:cxn modelId="{66537567-FD1F-4D9C-82D8-CFC1984A70C5}" type="presOf" srcId="{8EDE5D21-4B14-4BBE-AE67-67A662003C3F}" destId="{2F3C17EF-0EF6-45A1-AF0D-0023B71C87D1}" srcOrd="0" destOrd="0" presId="urn:microsoft.com/office/officeart/2008/layout/HexagonCluster"/>
    <dgm:cxn modelId="{E9643857-B204-4B95-A0F5-E73BC07A27A7}" srcId="{D47916F8-6532-463A-A1A7-AEB644CEE851}" destId="{0105C848-085B-4ABF-8640-58B4409C02B4}" srcOrd="5" destOrd="0" parTransId="{C6CA1D8F-15CD-43D5-BBE1-4B8F30B09475}" sibTransId="{E6B97D5D-75D3-46E3-8C61-ABB3937FF066}"/>
    <dgm:cxn modelId="{0E600A6F-5F16-40D8-BB6A-FC97F8CFBBCE}" srcId="{D47916F8-6532-463A-A1A7-AEB644CEE851}" destId="{6233F014-738E-4A68-B1D7-46AC293B65BA}" srcOrd="6" destOrd="0" parTransId="{291DB282-3CB6-4750-8CC8-A87D2F7BF32B}" sibTransId="{5D677247-2122-4AA3-B623-04464D555148}"/>
    <dgm:cxn modelId="{47E8F1A9-1A82-4817-9FBD-9F9BED8F03D5}" type="presOf" srcId="{521AF9FE-90C4-4FD0-82C0-D28DCFD9847F}" destId="{05419E0E-B7E6-4FBC-9706-1EF5C57186EB}" srcOrd="0" destOrd="0" presId="urn:microsoft.com/office/officeart/2008/layout/HexagonCluster"/>
    <dgm:cxn modelId="{D94A8EC9-A3B2-4123-A8DF-96385E93D0CA}" type="presOf" srcId="{79B21BC7-3532-45A8-AB22-D3EE09B92D04}" destId="{1B883AAB-FC1D-465B-8206-FAA73BC0DEAE}" srcOrd="0" destOrd="0" presId="urn:microsoft.com/office/officeart/2008/layout/HexagonCluster"/>
    <dgm:cxn modelId="{A3F18976-D0BC-4A97-B9E3-E12C27C4F620}" type="presOf" srcId="{5D677247-2122-4AA3-B623-04464D555148}" destId="{35EC35E3-72FA-4258-90CD-2820113D2149}" srcOrd="0" destOrd="0" presId="urn:microsoft.com/office/officeart/2008/layout/HexagonCluster"/>
    <dgm:cxn modelId="{7B898EE5-0DDF-47C0-BC61-CBD7DAA9A519}" type="presOf" srcId="{4F99AF03-EAAD-4451-803D-84774E8D100A}" destId="{A0A277CD-C70C-4FD2-A10B-832E5489409D}" srcOrd="0" destOrd="0" presId="urn:microsoft.com/office/officeart/2008/layout/HexagonCluster"/>
    <dgm:cxn modelId="{9B8A58EE-96E2-4823-A053-8B544FBF9AE3}" type="presParOf" srcId="{1433A6BF-37E9-4C14-9E79-96974AE93A1A}" destId="{541D9ED0-9C09-46D9-A0DD-B8A1C21894D3}" srcOrd="0" destOrd="0" presId="urn:microsoft.com/office/officeart/2008/layout/HexagonCluster"/>
    <dgm:cxn modelId="{71DE1C72-2269-4AF1-965B-E379D339F293}" type="presParOf" srcId="{541D9ED0-9C09-46D9-A0DD-B8A1C21894D3}" destId="{A4C9C4A9-FD1B-419A-A353-47F4CFDD68D6}" srcOrd="0" destOrd="0" presId="urn:microsoft.com/office/officeart/2008/layout/HexagonCluster"/>
    <dgm:cxn modelId="{B6C72FB6-C839-41C9-AF42-47AA2DFD57C8}" type="presParOf" srcId="{1433A6BF-37E9-4C14-9E79-96974AE93A1A}" destId="{A5F98D23-334D-4EAC-AAB0-0C77B1BAED22}" srcOrd="1" destOrd="0" presId="urn:microsoft.com/office/officeart/2008/layout/HexagonCluster"/>
    <dgm:cxn modelId="{BB308E86-8C98-44F7-B50D-5A6F055A42B1}" type="presParOf" srcId="{A5F98D23-334D-4EAC-AAB0-0C77B1BAED22}" destId="{4A9D61E9-94C7-4CB4-8169-B314D166ADCC}" srcOrd="0" destOrd="0" presId="urn:microsoft.com/office/officeart/2008/layout/HexagonCluster"/>
    <dgm:cxn modelId="{E46552F6-412C-4D46-9B50-42AED9385BD5}" type="presParOf" srcId="{1433A6BF-37E9-4C14-9E79-96974AE93A1A}" destId="{0D44214A-98C3-44FA-B9EB-5FFB8E4B5F1F}" srcOrd="2" destOrd="0" presId="urn:microsoft.com/office/officeart/2008/layout/HexagonCluster"/>
    <dgm:cxn modelId="{F7B7ECEF-F17B-4035-9DD3-ABBFDC3AC706}" type="presParOf" srcId="{0D44214A-98C3-44FA-B9EB-5FFB8E4B5F1F}" destId="{A0A277CD-C70C-4FD2-A10B-832E5489409D}" srcOrd="0" destOrd="0" presId="urn:microsoft.com/office/officeart/2008/layout/HexagonCluster"/>
    <dgm:cxn modelId="{EE5F4D67-931C-4084-BBD8-2ED83A199503}" type="presParOf" srcId="{1433A6BF-37E9-4C14-9E79-96974AE93A1A}" destId="{CB60036A-7985-4C9F-9C2E-9B9D68FBBE1A}" srcOrd="3" destOrd="0" presId="urn:microsoft.com/office/officeart/2008/layout/HexagonCluster"/>
    <dgm:cxn modelId="{BB3A1762-96C8-4E50-915F-B6FD60A846C2}" type="presParOf" srcId="{CB60036A-7985-4C9F-9C2E-9B9D68FBBE1A}" destId="{993EF12B-D919-40D5-898B-852DECA3802D}" srcOrd="0" destOrd="0" presId="urn:microsoft.com/office/officeart/2008/layout/HexagonCluster"/>
    <dgm:cxn modelId="{D938EA23-4B70-4858-BD95-170F59E708C5}" type="presParOf" srcId="{1433A6BF-37E9-4C14-9E79-96974AE93A1A}" destId="{01BF1728-B662-4B9A-8BC1-BCE7947D18D2}" srcOrd="4" destOrd="0" presId="urn:microsoft.com/office/officeart/2008/layout/HexagonCluster"/>
    <dgm:cxn modelId="{D183F226-A23A-405A-8C46-A10DD4253555}" type="presParOf" srcId="{01BF1728-B662-4B9A-8BC1-BCE7947D18D2}" destId="{1B883AAB-FC1D-465B-8206-FAA73BC0DEAE}" srcOrd="0" destOrd="0" presId="urn:microsoft.com/office/officeart/2008/layout/HexagonCluster"/>
    <dgm:cxn modelId="{74D14147-6B14-4CA4-B334-EFC0AB5C2DA8}" type="presParOf" srcId="{1433A6BF-37E9-4C14-9E79-96974AE93A1A}" destId="{22E9FD91-4BA4-405F-943E-9A9FA33ACB85}" srcOrd="5" destOrd="0" presId="urn:microsoft.com/office/officeart/2008/layout/HexagonCluster"/>
    <dgm:cxn modelId="{DD5FF3BD-0929-4C08-9266-DF684C93214F}" type="presParOf" srcId="{22E9FD91-4BA4-405F-943E-9A9FA33ACB85}" destId="{AEE48318-CF2A-4287-BA94-1AF87666C9F3}" srcOrd="0" destOrd="0" presId="urn:microsoft.com/office/officeart/2008/layout/HexagonCluster"/>
    <dgm:cxn modelId="{FAED42BE-E8BE-4115-AC11-8BB3C534FAE4}" type="presParOf" srcId="{1433A6BF-37E9-4C14-9E79-96974AE93A1A}" destId="{01A8FAB5-2915-463C-806D-75FA552C8770}" srcOrd="6" destOrd="0" presId="urn:microsoft.com/office/officeart/2008/layout/HexagonCluster"/>
    <dgm:cxn modelId="{941E16EE-7E18-46B1-85BA-06A9E488594F}" type="presParOf" srcId="{01A8FAB5-2915-463C-806D-75FA552C8770}" destId="{A8AB5D51-FE38-419B-B143-618013F221B9}" srcOrd="0" destOrd="0" presId="urn:microsoft.com/office/officeart/2008/layout/HexagonCluster"/>
    <dgm:cxn modelId="{17759971-D46F-421D-ADF5-20D1228980B9}" type="presParOf" srcId="{1433A6BF-37E9-4C14-9E79-96974AE93A1A}" destId="{147C7302-B6AC-4500-9263-F2148A33FF27}" srcOrd="7" destOrd="0" presId="urn:microsoft.com/office/officeart/2008/layout/HexagonCluster"/>
    <dgm:cxn modelId="{5A9AEBE3-F8B4-4D7E-AA65-3D70A765A58B}" type="presParOf" srcId="{147C7302-B6AC-4500-9263-F2148A33FF27}" destId="{F059B7A8-3612-4696-A1E0-88DB6AA6006C}" srcOrd="0" destOrd="0" presId="urn:microsoft.com/office/officeart/2008/layout/HexagonCluster"/>
    <dgm:cxn modelId="{FF7A80B5-7E89-45B2-84BB-6A5C5A97FCF3}" type="presParOf" srcId="{1433A6BF-37E9-4C14-9E79-96974AE93A1A}" destId="{FDE573C7-3C8C-4797-ACD8-D18743A38D03}" srcOrd="8" destOrd="0" presId="urn:microsoft.com/office/officeart/2008/layout/HexagonCluster"/>
    <dgm:cxn modelId="{5788B3EB-64A0-4486-B426-A496F31C9D7D}" type="presParOf" srcId="{FDE573C7-3C8C-4797-ACD8-D18743A38D03}" destId="{2F3C17EF-0EF6-45A1-AF0D-0023B71C87D1}" srcOrd="0" destOrd="0" presId="urn:microsoft.com/office/officeart/2008/layout/HexagonCluster"/>
    <dgm:cxn modelId="{9E578BD5-4A3E-4B6A-8D9D-E59DD7531869}" type="presParOf" srcId="{1433A6BF-37E9-4C14-9E79-96974AE93A1A}" destId="{9BB77D28-E0F5-480C-BA63-6F5AA92001BF}" srcOrd="9" destOrd="0" presId="urn:microsoft.com/office/officeart/2008/layout/HexagonCluster"/>
    <dgm:cxn modelId="{079D524D-B225-45E9-81E8-1473ED9367BE}" type="presParOf" srcId="{9BB77D28-E0F5-480C-BA63-6F5AA92001BF}" destId="{5C12F652-9E0B-46AA-9F36-7A19548DD82B}" srcOrd="0" destOrd="0" presId="urn:microsoft.com/office/officeart/2008/layout/HexagonCluster"/>
    <dgm:cxn modelId="{F0F97148-C1F4-467B-BCFC-562752E2DB30}" type="presParOf" srcId="{1433A6BF-37E9-4C14-9E79-96974AE93A1A}" destId="{D1613D44-7D85-455F-8B7B-2EC822AE4A19}" srcOrd="10" destOrd="0" presId="urn:microsoft.com/office/officeart/2008/layout/HexagonCluster"/>
    <dgm:cxn modelId="{76CE5951-B0D3-4504-8371-29906A31D3B9}" type="presParOf" srcId="{D1613D44-7D85-455F-8B7B-2EC822AE4A19}" destId="{05419E0E-B7E6-4FBC-9706-1EF5C57186EB}" srcOrd="0" destOrd="0" presId="urn:microsoft.com/office/officeart/2008/layout/HexagonCluster"/>
    <dgm:cxn modelId="{F43AA7C0-713F-49E0-8AFD-201ADF6B3C7C}" type="presParOf" srcId="{1433A6BF-37E9-4C14-9E79-96974AE93A1A}" destId="{D0471774-EA3A-4149-893D-4B79E55AC618}" srcOrd="11" destOrd="0" presId="urn:microsoft.com/office/officeart/2008/layout/HexagonCluster"/>
    <dgm:cxn modelId="{AE00A376-92D4-4C60-B189-6B65EF1308DA}" type="presParOf" srcId="{D0471774-EA3A-4149-893D-4B79E55AC618}" destId="{23E9F7AC-EA56-4AD4-9F3A-4043B4D7BCD0}" srcOrd="0" destOrd="0" presId="urn:microsoft.com/office/officeart/2008/layout/HexagonCluster"/>
    <dgm:cxn modelId="{E7521B1A-EE66-4ADE-B9BF-0CF8961A9531}" type="presParOf" srcId="{1433A6BF-37E9-4C14-9E79-96974AE93A1A}" destId="{13DD803E-F716-4FF7-8648-D188A79DFC19}" srcOrd="12" destOrd="0" presId="urn:microsoft.com/office/officeart/2008/layout/HexagonCluster"/>
    <dgm:cxn modelId="{7ACE070F-F3B9-4AAF-8F48-FA16778D7AF9}" type="presParOf" srcId="{13DD803E-F716-4FF7-8648-D188A79DFC19}" destId="{C20145AF-3DF7-4920-8A12-C87C2CDBED99}" srcOrd="0" destOrd="0" presId="urn:microsoft.com/office/officeart/2008/layout/HexagonCluster"/>
    <dgm:cxn modelId="{B894ECA5-5A57-4C6B-9688-BB389038157F}" type="presParOf" srcId="{1433A6BF-37E9-4C14-9E79-96974AE93A1A}" destId="{610A8BA8-9B19-48B8-B07A-AA2B5278DB1A}" srcOrd="13" destOrd="0" presId="urn:microsoft.com/office/officeart/2008/layout/HexagonCluster"/>
    <dgm:cxn modelId="{43AAE45F-60E4-4135-9736-306B06AB8D12}" type="presParOf" srcId="{610A8BA8-9B19-48B8-B07A-AA2B5278DB1A}" destId="{3DE2DAF2-1196-43D3-BA1C-79E823B64F71}" srcOrd="0" destOrd="0" presId="urn:microsoft.com/office/officeart/2008/layout/HexagonCluster"/>
    <dgm:cxn modelId="{83C1B94F-84A0-49F8-ADF7-099D4A488CA2}" type="presParOf" srcId="{1433A6BF-37E9-4C14-9E79-96974AE93A1A}" destId="{F8F9DDC0-F69D-4B08-B228-1584ED18B83C}" srcOrd="14" destOrd="0" presId="urn:microsoft.com/office/officeart/2008/layout/HexagonCluster"/>
    <dgm:cxn modelId="{DA979F13-6F7D-4569-A18F-C4D07FFADAAF}" type="presParOf" srcId="{F8F9DDC0-F69D-4B08-B228-1584ED18B83C}" destId="{EF3781FC-0797-4EBB-BF97-78B13CEDDFAE}" srcOrd="0" destOrd="0" presId="urn:microsoft.com/office/officeart/2008/layout/HexagonCluster"/>
    <dgm:cxn modelId="{34361658-B42C-44A5-B216-2BD551718806}" type="presParOf" srcId="{1433A6BF-37E9-4C14-9E79-96974AE93A1A}" destId="{A63D1B4E-8F9E-4C01-B9B5-6516EFBC805E}" srcOrd="15" destOrd="0" presId="urn:microsoft.com/office/officeart/2008/layout/HexagonCluster"/>
    <dgm:cxn modelId="{4395D299-F7D0-41DF-AC5B-5EF0F2C70A79}" type="presParOf" srcId="{A63D1B4E-8F9E-4C01-B9B5-6516EFBC805E}" destId="{AEC3D0E5-7812-4D5A-8687-062DDE331EEE}" srcOrd="0" destOrd="0" presId="urn:microsoft.com/office/officeart/2008/layout/HexagonCluster"/>
    <dgm:cxn modelId="{3D44AAD8-5A81-423E-ADFD-7A6973EF5179}" type="presParOf" srcId="{1433A6BF-37E9-4C14-9E79-96974AE93A1A}" destId="{AD22CA37-7E20-4EED-82DE-CB6AA83ADE74}" srcOrd="16" destOrd="0" presId="urn:microsoft.com/office/officeart/2008/layout/HexagonCluster"/>
    <dgm:cxn modelId="{D4E196DC-7E99-4F79-A787-56902F721279}" type="presParOf" srcId="{AD22CA37-7E20-4EED-82DE-CB6AA83ADE74}" destId="{8790B057-A559-4AC3-AB8C-D6CE3900F101}" srcOrd="0" destOrd="0" presId="urn:microsoft.com/office/officeart/2008/layout/HexagonCluster"/>
    <dgm:cxn modelId="{81962DD6-88CB-4C57-82E8-74520390A100}" type="presParOf" srcId="{1433A6BF-37E9-4C14-9E79-96974AE93A1A}" destId="{757D9AD5-BAD8-4606-B063-295AEC7D33C9}" srcOrd="17" destOrd="0" presId="urn:microsoft.com/office/officeart/2008/layout/HexagonCluster"/>
    <dgm:cxn modelId="{6DB322F4-0F37-49FD-849D-4B6FDF08FFE5}" type="presParOf" srcId="{757D9AD5-BAD8-4606-B063-295AEC7D33C9}" destId="{70CBDCD5-BA41-41BC-9C14-35A1122FCB37}" srcOrd="0" destOrd="0" presId="urn:microsoft.com/office/officeart/2008/layout/HexagonCluster"/>
    <dgm:cxn modelId="{1233D115-BF1F-421A-A0B5-D062E71424EB}" type="presParOf" srcId="{1433A6BF-37E9-4C14-9E79-96974AE93A1A}" destId="{B7649239-3835-44A3-9E3E-83B428EFAE2A}" srcOrd="18" destOrd="0" presId="urn:microsoft.com/office/officeart/2008/layout/HexagonCluster"/>
    <dgm:cxn modelId="{E78E5A57-A9EF-44D0-B87A-2B2E4E764F2E}" type="presParOf" srcId="{B7649239-3835-44A3-9E3E-83B428EFAE2A}" destId="{8EA6D940-30EA-41B2-A309-03B59F7F591A}" srcOrd="0" destOrd="0" presId="urn:microsoft.com/office/officeart/2008/layout/HexagonCluster"/>
    <dgm:cxn modelId="{416BC54E-7D4A-4556-A9AD-909EFBF06644}" type="presParOf" srcId="{1433A6BF-37E9-4C14-9E79-96974AE93A1A}" destId="{FD57890D-0F5C-4DE4-8B02-EBB3CE163C80}" srcOrd="19" destOrd="0" presId="urn:microsoft.com/office/officeart/2008/layout/HexagonCluster"/>
    <dgm:cxn modelId="{E3C297B3-85E1-4CAF-89DE-70DE6184FD04}" type="presParOf" srcId="{FD57890D-0F5C-4DE4-8B02-EBB3CE163C80}" destId="{4FB58F03-A0B9-45EA-B99D-2E250E8E2192}" srcOrd="0" destOrd="0" presId="urn:microsoft.com/office/officeart/2008/layout/HexagonCluster"/>
    <dgm:cxn modelId="{CF58BF25-AE35-452D-BB1F-3C085471398C}" type="presParOf" srcId="{1433A6BF-37E9-4C14-9E79-96974AE93A1A}" destId="{FF865F44-C420-48D4-A4EB-2BE7B68E663E}" srcOrd="20" destOrd="0" presId="urn:microsoft.com/office/officeart/2008/layout/HexagonCluster"/>
    <dgm:cxn modelId="{13561158-EB01-4836-96E3-222CEAD5B948}" type="presParOf" srcId="{FF865F44-C420-48D4-A4EB-2BE7B68E663E}" destId="{8B14BEAF-BA30-4E7B-8D15-D3D036EF9AB0}" srcOrd="0" destOrd="0" presId="urn:microsoft.com/office/officeart/2008/layout/HexagonCluster"/>
    <dgm:cxn modelId="{920054DC-A9A1-411B-A506-51364FD1DA92}" type="presParOf" srcId="{1433A6BF-37E9-4C14-9E79-96974AE93A1A}" destId="{46855068-6B35-4369-A5BD-5747B568C209}" srcOrd="21" destOrd="0" presId="urn:microsoft.com/office/officeart/2008/layout/HexagonCluster"/>
    <dgm:cxn modelId="{63B819D1-13DB-4F2F-8089-6BA862969EDA}" type="presParOf" srcId="{46855068-6B35-4369-A5BD-5747B568C209}" destId="{C46B4D9E-0480-4980-9139-33FFAA11D9A3}" srcOrd="0" destOrd="0" presId="urn:microsoft.com/office/officeart/2008/layout/HexagonCluster"/>
    <dgm:cxn modelId="{F146CB97-C199-46E4-A187-C14D940283FC}" type="presParOf" srcId="{1433A6BF-37E9-4C14-9E79-96974AE93A1A}" destId="{DAFD4085-8CBB-4903-920F-DAA49B67D8FD}" srcOrd="22" destOrd="0" presId="urn:microsoft.com/office/officeart/2008/layout/HexagonCluster"/>
    <dgm:cxn modelId="{D9CC77DF-9E99-4074-8065-8F88E5AF423D}" type="presParOf" srcId="{DAFD4085-8CBB-4903-920F-DAA49B67D8FD}" destId="{54BF9BA6-2D63-4FA5-9516-E227942EAED8}" srcOrd="0" destOrd="0" presId="urn:microsoft.com/office/officeart/2008/layout/HexagonCluster"/>
    <dgm:cxn modelId="{1C444211-EF86-4592-90E4-8BA0DF23B13E}" type="presParOf" srcId="{1433A6BF-37E9-4C14-9E79-96974AE93A1A}" destId="{3356D3E4-5452-469B-853F-87863FCA0FBE}" srcOrd="23" destOrd="0" presId="urn:microsoft.com/office/officeart/2008/layout/HexagonCluster"/>
    <dgm:cxn modelId="{BCF3FDC3-526A-439E-81DC-F94A0189DB3B}" type="presParOf" srcId="{3356D3E4-5452-469B-853F-87863FCA0FBE}" destId="{BEDB8BE9-4FEF-4BD4-A58B-EF6318AC29C0}" srcOrd="0" destOrd="0" presId="urn:microsoft.com/office/officeart/2008/layout/HexagonCluster"/>
    <dgm:cxn modelId="{F378CFD7-6A7D-4D7E-B285-D674FA80816A}" type="presParOf" srcId="{1433A6BF-37E9-4C14-9E79-96974AE93A1A}" destId="{C2661C9D-8B7A-42B8-AEC8-239EE8F53B79}" srcOrd="24" destOrd="0" presId="urn:microsoft.com/office/officeart/2008/layout/HexagonCluster"/>
    <dgm:cxn modelId="{57F70995-9E21-440E-A2FB-3611948A2EBA}" type="presParOf" srcId="{C2661C9D-8B7A-42B8-AEC8-239EE8F53B79}" destId="{6CC36613-5BF1-47F7-837A-C043A4FDC968}" srcOrd="0" destOrd="0" presId="urn:microsoft.com/office/officeart/2008/layout/HexagonCluster"/>
    <dgm:cxn modelId="{9D51E844-21D1-4EB2-BEED-BD381BD8C39C}" type="presParOf" srcId="{1433A6BF-37E9-4C14-9E79-96974AE93A1A}" destId="{A353993B-DFA5-4B20-8DDD-2CA87DE2C4D4}" srcOrd="25" destOrd="0" presId="urn:microsoft.com/office/officeart/2008/layout/HexagonCluster"/>
    <dgm:cxn modelId="{9AAA1934-8F8D-4521-A54E-5435E2133D83}" type="presParOf" srcId="{A353993B-DFA5-4B20-8DDD-2CA87DE2C4D4}" destId="{7F950C00-EE1E-4EF1-9D13-F48527A9F64E}" srcOrd="0" destOrd="0" presId="urn:microsoft.com/office/officeart/2008/layout/HexagonCluster"/>
    <dgm:cxn modelId="{B46DF2CB-1ED8-463A-887B-4651DD7B5B7C}" type="presParOf" srcId="{1433A6BF-37E9-4C14-9E79-96974AE93A1A}" destId="{C01075E4-BC67-4F90-8F0C-1869CF68E09C}" srcOrd="26" destOrd="0" presId="urn:microsoft.com/office/officeart/2008/layout/HexagonCluster"/>
    <dgm:cxn modelId="{78B93CD4-4265-4647-A5AB-88D23CA737CE}" type="presParOf" srcId="{C01075E4-BC67-4F90-8F0C-1869CF68E09C}" destId="{35EC35E3-72FA-4258-90CD-2820113D2149}" srcOrd="0" destOrd="0" presId="urn:microsoft.com/office/officeart/2008/layout/HexagonCluster"/>
    <dgm:cxn modelId="{C4028F7D-551B-49E2-B565-1EEB51CB87F7}" type="presParOf" srcId="{1433A6BF-37E9-4C14-9E79-96974AE93A1A}" destId="{7ED52054-FEEC-4623-B855-F65F194FF658}" srcOrd="27" destOrd="0" presId="urn:microsoft.com/office/officeart/2008/layout/HexagonCluster"/>
    <dgm:cxn modelId="{7A9511AA-0F45-445C-89CB-89CEDDC4B52D}" type="presParOf" srcId="{7ED52054-FEEC-4623-B855-F65F194FF658}" destId="{95F1F12E-4528-4668-92D6-B5E07EF74822}" srcOrd="0" destOrd="0" presId="urn:microsoft.com/office/officeart/2008/layout/HexagonCluster"/>
  </dgm:cxnLst>
  <dgm:bg/>
  <dgm:whole/>
</dgm:dataModel>
</file>

<file path=word/diagrams/data2.xml><?xml version="1.0" encoding="utf-8"?>
<dgm:dataModel xmlns:dgm="http://schemas.openxmlformats.org/drawingml/2006/diagram" xmlns:a="http://schemas.openxmlformats.org/drawingml/2006/main">
  <dgm:ptLst>
    <dgm:pt modelId="{E6470F47-BF89-40BA-A45C-DC1622A52B24}" type="doc">
      <dgm:prSet loTypeId="urn:microsoft.com/office/officeart/2005/8/layout/process1" loCatId="process" qsTypeId="urn:microsoft.com/office/officeart/2005/8/quickstyle/simple5" qsCatId="simple" csTypeId="urn:microsoft.com/office/officeart/2005/8/colors/colorful3" csCatId="colorful" phldr="1"/>
      <dgm:spPr/>
      <dgm:t>
        <a:bodyPr/>
        <a:p>
          <a:endParaRPr lang="zh-CN" altLang="en-US"/>
        </a:p>
      </dgm:t>
    </dgm:pt>
    <dgm:pt modelId="{3047020E-E0C6-4353-8F78-026486D45AD9}">
      <dgm:prSet phldrT="[文本]" custT="1"/>
      <dgm:spPr/>
      <dgm:t>
        <a:bodyPr/>
        <a:p>
          <a:endParaRPr lang="en-US" altLang="zh-CN" sz="1000" b="0" dirty="0">
            <a:solidFill>
              <a:schemeClr val="tx1"/>
            </a:solidFill>
            <a:latin typeface="+mn-ea"/>
            <a:ea typeface="+mn-ea"/>
          </a:endParaRPr>
        </a:p>
        <a:p>
          <a:r>
            <a:rPr lang="zh-CN" altLang="en-US" sz="1000" b="0" dirty="0">
              <a:solidFill>
                <a:schemeClr val="tx1"/>
              </a:solidFill>
              <a:latin typeface="+mn-ea"/>
              <a:ea typeface="+mn-ea"/>
            </a:rPr>
            <a:t>重点发展装备制造、化工、食品产业</a:t>
          </a:r>
          <a:endParaRPr lang="en-US" altLang="zh-CN" sz="1000" b="0" dirty="0">
            <a:solidFill>
              <a:schemeClr val="tx1"/>
            </a:solidFill>
            <a:latin typeface="+mn-ea"/>
            <a:ea typeface="+mn-ea"/>
          </a:endParaRPr>
        </a:p>
        <a:p>
          <a:endParaRPr lang="zh-CN" altLang="en-US" sz="1000" b="0" dirty="0">
            <a:solidFill>
              <a:schemeClr val="tx1"/>
            </a:solidFill>
            <a:latin typeface="+mn-ea"/>
            <a:ea typeface="+mn-ea"/>
          </a:endParaRPr>
        </a:p>
      </dgm:t>
    </dgm:pt>
    <dgm:pt modelId="{C639E6F2-66FA-4C8A-BDEB-C0EA6DB4F189}" cxnId="{10AF7DA5-810C-4388-AF30-485F53C60A6F}" type="parTrans">
      <dgm:prSet/>
      <dgm:spPr/>
      <dgm:t>
        <a:bodyPr/>
        <a:p>
          <a:endParaRPr lang="zh-CN" altLang="en-US" sz="1000" b="0">
            <a:solidFill>
              <a:schemeClr val="tx1"/>
            </a:solidFill>
            <a:latin typeface="Wide Latin" panose="020A0A07050505020404" pitchFamily="2" charset="0"/>
            <a:ea typeface="微软雅黑" panose="020B0503020204020204" pitchFamily="2" charset="-122"/>
          </a:endParaRPr>
        </a:p>
      </dgm:t>
    </dgm:pt>
    <dgm:pt modelId="{B8CAA672-B0FB-476B-A575-C895B4F2A76D}" cxnId="{10AF7DA5-810C-4388-AF30-485F53C60A6F}" type="sibTrans">
      <dgm:prSet custT="1"/>
      <dgm:spPr/>
      <dgm:t>
        <a:bodyPr/>
        <a:p>
          <a:endParaRPr lang="zh-CN" altLang="en-US" sz="1000" b="0">
            <a:solidFill>
              <a:schemeClr val="tx1"/>
            </a:solidFill>
            <a:latin typeface="+mn-ea"/>
            <a:ea typeface="+mn-ea"/>
          </a:endParaRPr>
        </a:p>
      </dgm:t>
    </dgm:pt>
    <dgm:pt modelId="{7C2C6381-D19B-43FB-BEE1-C51B64D782EA}">
      <dgm:prSet phldrT="[文本]" custT="1"/>
      <dgm:spPr/>
      <dgm:t>
        <a:bodyPr/>
        <a:p>
          <a:endParaRPr lang="en-US" altLang="zh-CN" sz="1000" b="0" dirty="0">
            <a:solidFill>
              <a:schemeClr val="tx1"/>
            </a:solidFill>
            <a:latin typeface="+mn-ea"/>
            <a:ea typeface="+mn-ea"/>
          </a:endParaRPr>
        </a:p>
        <a:p>
          <a:r>
            <a:rPr lang="zh-CN" altLang="en-US" sz="1000" b="0" dirty="0">
              <a:solidFill>
                <a:schemeClr val="tx1"/>
              </a:solidFill>
              <a:latin typeface="+mn-ea"/>
              <a:ea typeface="+mn-ea"/>
            </a:rPr>
            <a:t>稳步发展有色、冶金、能源工业</a:t>
          </a:r>
          <a:endParaRPr lang="en-US" altLang="zh-CN" sz="1000" b="0" dirty="0">
            <a:solidFill>
              <a:schemeClr val="tx1"/>
            </a:solidFill>
            <a:latin typeface="+mn-ea"/>
            <a:ea typeface="+mn-ea"/>
          </a:endParaRPr>
        </a:p>
        <a:p>
          <a:endParaRPr lang="zh-CN" altLang="en-US" sz="1000" b="0" dirty="0">
            <a:solidFill>
              <a:schemeClr val="tx1"/>
            </a:solidFill>
            <a:latin typeface="+mn-ea"/>
            <a:ea typeface="+mn-ea"/>
          </a:endParaRPr>
        </a:p>
      </dgm:t>
    </dgm:pt>
    <dgm:pt modelId="{AA07F0D9-0A50-481F-98F9-535220965A41}" cxnId="{2C861952-00AC-4E80-8BBE-89D4ABB73606}" type="parTrans">
      <dgm:prSet/>
      <dgm:spPr/>
      <dgm:t>
        <a:bodyPr/>
        <a:p>
          <a:endParaRPr lang="zh-CN" altLang="en-US" sz="1000" b="0">
            <a:solidFill>
              <a:schemeClr val="tx1"/>
            </a:solidFill>
            <a:latin typeface="Wide Latin" panose="020A0A07050505020404" pitchFamily="2" charset="0"/>
            <a:ea typeface="微软雅黑" panose="020B0503020204020204" pitchFamily="2" charset="-122"/>
          </a:endParaRPr>
        </a:p>
      </dgm:t>
    </dgm:pt>
    <dgm:pt modelId="{D7E9B444-5599-4D58-8A74-545229160313}" cxnId="{2C861952-00AC-4E80-8BBE-89D4ABB73606}" type="sibTrans">
      <dgm:prSet custT="1"/>
      <dgm:spPr/>
      <dgm:t>
        <a:bodyPr/>
        <a:p>
          <a:endParaRPr lang="zh-CN" altLang="en-US" sz="1000" b="0">
            <a:solidFill>
              <a:schemeClr val="tx1"/>
            </a:solidFill>
            <a:latin typeface="+mn-ea"/>
            <a:ea typeface="+mn-ea"/>
          </a:endParaRPr>
        </a:p>
      </dgm:t>
    </dgm:pt>
    <dgm:pt modelId="{BA3143BC-5BFB-4C1C-929C-D137EC3946A1}">
      <dgm:prSet phldrT="[文本]" custT="1"/>
      <dgm:spPr/>
      <dgm:t>
        <a:bodyPr/>
        <a:p>
          <a:endParaRPr lang="en-US" altLang="zh-CN" sz="1000" b="0" dirty="0">
            <a:solidFill>
              <a:schemeClr val="tx1"/>
            </a:solidFill>
            <a:latin typeface="+mn-ea"/>
            <a:ea typeface="+mn-ea"/>
          </a:endParaRPr>
        </a:p>
        <a:p>
          <a:r>
            <a:rPr lang="zh-CN" altLang="en-US" sz="1000" b="0" dirty="0">
              <a:solidFill>
                <a:schemeClr val="tx1"/>
              </a:solidFill>
              <a:latin typeface="+mn-ea"/>
              <a:ea typeface="+mn-ea"/>
            </a:rPr>
            <a:t>培养发展新能源、新材料、节能环保、新一代信息技术、医药等新兴产业</a:t>
          </a:r>
          <a:endParaRPr lang="en-US" altLang="zh-CN" sz="1000" b="0" dirty="0">
            <a:solidFill>
              <a:schemeClr val="tx1"/>
            </a:solidFill>
            <a:latin typeface="+mn-ea"/>
            <a:ea typeface="+mn-ea"/>
          </a:endParaRPr>
        </a:p>
        <a:p>
          <a:endParaRPr lang="zh-CN" altLang="en-US" sz="1000" b="0" dirty="0">
            <a:solidFill>
              <a:schemeClr val="tx1"/>
            </a:solidFill>
            <a:latin typeface="+mn-ea"/>
            <a:ea typeface="+mn-ea"/>
          </a:endParaRPr>
        </a:p>
      </dgm:t>
    </dgm:pt>
    <dgm:pt modelId="{72F32CCB-81BD-48FE-8B3D-C790E75A1B9A}" cxnId="{2AF18D41-2351-4129-808D-160CC872D1F9}" type="parTrans">
      <dgm:prSet/>
      <dgm:spPr/>
      <dgm:t>
        <a:bodyPr/>
        <a:p>
          <a:endParaRPr lang="zh-CN" altLang="en-US" sz="1000" b="0">
            <a:solidFill>
              <a:schemeClr val="tx1"/>
            </a:solidFill>
            <a:latin typeface="Wide Latin" panose="020A0A07050505020404" pitchFamily="2" charset="0"/>
            <a:ea typeface="微软雅黑" panose="020B0503020204020204" pitchFamily="2" charset="-122"/>
          </a:endParaRPr>
        </a:p>
      </dgm:t>
    </dgm:pt>
    <dgm:pt modelId="{9E4AC0A0-5E91-4CBA-90B7-C6131E6EB35B}" cxnId="{2AF18D41-2351-4129-808D-160CC872D1F9}" type="sibTrans">
      <dgm:prSet/>
      <dgm:spPr/>
      <dgm:t>
        <a:bodyPr/>
        <a:p>
          <a:endParaRPr lang="zh-CN" altLang="en-US" sz="1000" b="0">
            <a:solidFill>
              <a:schemeClr val="tx1"/>
            </a:solidFill>
            <a:latin typeface="Wide Latin" panose="020A0A07050505020404" pitchFamily="2" charset="0"/>
            <a:ea typeface="微软雅黑" panose="020B0503020204020204" pitchFamily="2" charset="-122"/>
          </a:endParaRPr>
        </a:p>
      </dgm:t>
    </dgm:pt>
    <dgm:pt modelId="{48AA29AB-4697-497A-B396-C0761A7E0A6C}" type="pres">
      <dgm:prSet presAssocID="{E6470F47-BF89-40BA-A45C-DC1622A52B24}" presName="Name0" presStyleCnt="0">
        <dgm:presLayoutVars>
          <dgm:dir/>
          <dgm:resizeHandles val="exact"/>
        </dgm:presLayoutVars>
      </dgm:prSet>
      <dgm:spPr/>
      <dgm:t>
        <a:bodyPr/>
        <a:p>
          <a:endParaRPr lang="zh-CN" altLang="en-US"/>
        </a:p>
      </dgm:t>
    </dgm:pt>
    <dgm:pt modelId="{C07998A7-3170-41C7-86B9-90056B0968F0}" type="pres">
      <dgm:prSet presAssocID="{3047020E-E0C6-4353-8F78-026486D45AD9}" presName="node" presStyleLbl="node1" presStyleIdx="0" presStyleCnt="3">
        <dgm:presLayoutVars>
          <dgm:bulletEnabled val="1"/>
        </dgm:presLayoutVars>
      </dgm:prSet>
      <dgm:spPr/>
      <dgm:t>
        <a:bodyPr/>
        <a:p>
          <a:endParaRPr lang="zh-CN" altLang="en-US"/>
        </a:p>
      </dgm:t>
    </dgm:pt>
    <dgm:pt modelId="{5DB4EA1D-F100-4C82-99FF-E627D31DE468}" type="pres">
      <dgm:prSet presAssocID="{B8CAA672-B0FB-476B-A575-C895B4F2A76D}" presName="sibTrans" presStyleLbl="sibTrans2D1" presStyleIdx="0" presStyleCnt="2"/>
      <dgm:spPr/>
      <dgm:t>
        <a:bodyPr/>
        <a:p>
          <a:endParaRPr lang="zh-CN" altLang="en-US"/>
        </a:p>
      </dgm:t>
    </dgm:pt>
    <dgm:pt modelId="{B076D71C-E458-49BD-B837-E9C176DAB8D0}" type="pres">
      <dgm:prSet presAssocID="{B8CAA672-B0FB-476B-A575-C895B4F2A76D}" presName="connectorText" presStyleLbl="sibTrans2D1" presStyleIdx="0" presStyleCnt="2"/>
      <dgm:spPr/>
      <dgm:t>
        <a:bodyPr/>
        <a:p>
          <a:endParaRPr lang="zh-CN" altLang="en-US"/>
        </a:p>
      </dgm:t>
    </dgm:pt>
    <dgm:pt modelId="{FCF06A87-4F15-4E71-A7EC-CCC5CBEAE770}" type="pres">
      <dgm:prSet presAssocID="{7C2C6381-D19B-43FB-BEE1-C51B64D782EA}" presName="node" presStyleLbl="node1" presStyleIdx="1" presStyleCnt="3">
        <dgm:presLayoutVars>
          <dgm:bulletEnabled val="1"/>
        </dgm:presLayoutVars>
      </dgm:prSet>
      <dgm:spPr/>
      <dgm:t>
        <a:bodyPr/>
        <a:p>
          <a:endParaRPr lang="zh-CN" altLang="en-US"/>
        </a:p>
      </dgm:t>
    </dgm:pt>
    <dgm:pt modelId="{88D86FE9-786C-4705-80F4-3A8D17D1FA57}" type="pres">
      <dgm:prSet presAssocID="{D7E9B444-5599-4D58-8A74-545229160313}" presName="sibTrans" presStyleLbl="sibTrans2D1" presStyleIdx="1" presStyleCnt="2"/>
      <dgm:spPr/>
      <dgm:t>
        <a:bodyPr/>
        <a:p>
          <a:endParaRPr lang="zh-CN" altLang="en-US"/>
        </a:p>
      </dgm:t>
    </dgm:pt>
    <dgm:pt modelId="{0B2FB30C-8D36-40B9-85FB-EB01F6393005}" type="pres">
      <dgm:prSet presAssocID="{D7E9B444-5599-4D58-8A74-545229160313}" presName="connectorText" presStyleLbl="sibTrans2D1" presStyleIdx="1" presStyleCnt="2"/>
      <dgm:spPr/>
      <dgm:t>
        <a:bodyPr/>
        <a:p>
          <a:endParaRPr lang="zh-CN" altLang="en-US"/>
        </a:p>
      </dgm:t>
    </dgm:pt>
    <dgm:pt modelId="{A4D6C228-AD23-476C-B54D-825F6262147E}" type="pres">
      <dgm:prSet presAssocID="{BA3143BC-5BFB-4C1C-929C-D137EC3946A1}" presName="node" presStyleLbl="node1" presStyleIdx="2" presStyleCnt="3">
        <dgm:presLayoutVars>
          <dgm:bulletEnabled val="1"/>
        </dgm:presLayoutVars>
      </dgm:prSet>
      <dgm:spPr/>
      <dgm:t>
        <a:bodyPr/>
        <a:p>
          <a:endParaRPr lang="zh-CN" altLang="en-US"/>
        </a:p>
      </dgm:t>
    </dgm:pt>
  </dgm:ptLst>
  <dgm:cxnLst>
    <dgm:cxn modelId="{7349BC2F-D418-4017-9CED-74FDBE8CA764}" type="presOf" srcId="{D7E9B444-5599-4D58-8A74-545229160313}" destId="{0B2FB30C-8D36-40B9-85FB-EB01F6393005}" srcOrd="1" destOrd="0" presId="urn:microsoft.com/office/officeart/2005/8/layout/process1"/>
    <dgm:cxn modelId="{C67E4DC3-4912-4F72-B326-BA2DC2D2A739}" type="presOf" srcId="{7C2C6381-D19B-43FB-BEE1-C51B64D782EA}" destId="{FCF06A87-4F15-4E71-A7EC-CCC5CBEAE770}" srcOrd="0" destOrd="0" presId="urn:microsoft.com/office/officeart/2005/8/layout/process1"/>
    <dgm:cxn modelId="{2FC9207E-57EC-456C-A0AC-F2C4F253EA4B}" type="presOf" srcId="{B8CAA672-B0FB-476B-A575-C895B4F2A76D}" destId="{5DB4EA1D-F100-4C82-99FF-E627D31DE468}" srcOrd="0" destOrd="0" presId="urn:microsoft.com/office/officeart/2005/8/layout/process1"/>
    <dgm:cxn modelId="{19E466F8-10EB-4733-94E9-5E9352E58ECB}" type="presOf" srcId="{BA3143BC-5BFB-4C1C-929C-D137EC3946A1}" destId="{A4D6C228-AD23-476C-B54D-825F6262147E}" srcOrd="0" destOrd="0" presId="urn:microsoft.com/office/officeart/2005/8/layout/process1"/>
    <dgm:cxn modelId="{67F9C0A8-3C4E-49A8-900C-A4D61FFC00C0}" type="presOf" srcId="{B8CAA672-B0FB-476B-A575-C895B4F2A76D}" destId="{B076D71C-E458-49BD-B837-E9C176DAB8D0}" srcOrd="1" destOrd="0" presId="urn:microsoft.com/office/officeart/2005/8/layout/process1"/>
    <dgm:cxn modelId="{10AF7DA5-810C-4388-AF30-485F53C60A6F}" srcId="{E6470F47-BF89-40BA-A45C-DC1622A52B24}" destId="{3047020E-E0C6-4353-8F78-026486D45AD9}" srcOrd="0" destOrd="0" parTransId="{C639E6F2-66FA-4C8A-BDEB-C0EA6DB4F189}" sibTransId="{B8CAA672-B0FB-476B-A575-C895B4F2A76D}"/>
    <dgm:cxn modelId="{2AF18D41-2351-4129-808D-160CC872D1F9}" srcId="{E6470F47-BF89-40BA-A45C-DC1622A52B24}" destId="{BA3143BC-5BFB-4C1C-929C-D137EC3946A1}" srcOrd="2" destOrd="0" parTransId="{72F32CCB-81BD-48FE-8B3D-C790E75A1B9A}" sibTransId="{9E4AC0A0-5E91-4CBA-90B7-C6131E6EB35B}"/>
    <dgm:cxn modelId="{2C861952-00AC-4E80-8BBE-89D4ABB73606}" srcId="{E6470F47-BF89-40BA-A45C-DC1622A52B24}" destId="{7C2C6381-D19B-43FB-BEE1-C51B64D782EA}" srcOrd="1" destOrd="0" parTransId="{AA07F0D9-0A50-481F-98F9-535220965A41}" sibTransId="{D7E9B444-5599-4D58-8A74-545229160313}"/>
    <dgm:cxn modelId="{36842197-8E61-4D8A-AFED-43B04B3CD7BF}" type="presOf" srcId="{D7E9B444-5599-4D58-8A74-545229160313}" destId="{88D86FE9-786C-4705-80F4-3A8D17D1FA57}" srcOrd="0" destOrd="0" presId="urn:microsoft.com/office/officeart/2005/8/layout/process1"/>
    <dgm:cxn modelId="{2E64DBEC-D3DE-43CE-B36B-BCC21F185026}" type="presOf" srcId="{3047020E-E0C6-4353-8F78-026486D45AD9}" destId="{C07998A7-3170-41C7-86B9-90056B0968F0}" srcOrd="0" destOrd="0" presId="urn:microsoft.com/office/officeart/2005/8/layout/process1"/>
    <dgm:cxn modelId="{DD23F514-3992-4899-8ECE-7E9104547C8E}" type="presOf" srcId="{E6470F47-BF89-40BA-A45C-DC1622A52B24}" destId="{48AA29AB-4697-497A-B396-C0761A7E0A6C}" srcOrd="0" destOrd="0" presId="urn:microsoft.com/office/officeart/2005/8/layout/process1"/>
    <dgm:cxn modelId="{CE1D7BB6-AC8C-41AF-9E9F-75CC84E3DF24}" type="presParOf" srcId="{48AA29AB-4697-497A-B396-C0761A7E0A6C}" destId="{C07998A7-3170-41C7-86B9-90056B0968F0}" srcOrd="0" destOrd="0" presId="urn:microsoft.com/office/officeart/2005/8/layout/process1"/>
    <dgm:cxn modelId="{D46E2884-3612-4789-BC50-608513E698BE}" type="presParOf" srcId="{48AA29AB-4697-497A-B396-C0761A7E0A6C}" destId="{5DB4EA1D-F100-4C82-99FF-E627D31DE468}" srcOrd="1" destOrd="0" presId="urn:microsoft.com/office/officeart/2005/8/layout/process1"/>
    <dgm:cxn modelId="{6605A398-A703-4D28-B050-203AA5037E76}" type="presParOf" srcId="{5DB4EA1D-F100-4C82-99FF-E627D31DE468}" destId="{B076D71C-E458-49BD-B837-E9C176DAB8D0}" srcOrd="0" destOrd="0" presId="urn:microsoft.com/office/officeart/2005/8/layout/process1"/>
    <dgm:cxn modelId="{67870DF3-3470-46CB-9AB0-779BD6997B24}" type="presParOf" srcId="{48AA29AB-4697-497A-B396-C0761A7E0A6C}" destId="{FCF06A87-4F15-4E71-A7EC-CCC5CBEAE770}" srcOrd="2" destOrd="0" presId="urn:microsoft.com/office/officeart/2005/8/layout/process1"/>
    <dgm:cxn modelId="{D4D74FDD-89C4-49F9-895B-8CC75DD7D5B9}" type="presParOf" srcId="{48AA29AB-4697-497A-B396-C0761A7E0A6C}" destId="{88D86FE9-786C-4705-80F4-3A8D17D1FA57}" srcOrd="3" destOrd="0" presId="urn:microsoft.com/office/officeart/2005/8/layout/process1"/>
    <dgm:cxn modelId="{12B4666D-0CC6-414F-9FD0-FD1BECEEDAF8}" type="presParOf" srcId="{88D86FE9-786C-4705-80F4-3A8D17D1FA57}" destId="{0B2FB30C-8D36-40B9-85FB-EB01F6393005}" srcOrd="0" destOrd="0" presId="urn:microsoft.com/office/officeart/2005/8/layout/process1"/>
    <dgm:cxn modelId="{F2E2903C-FA9D-40E0-BE05-5907504288FB}" type="presParOf" srcId="{48AA29AB-4697-497A-B396-C0761A7E0A6C}" destId="{A4D6C228-AD23-476C-B54D-825F6262147E}" srcOrd="4" destOrd="0" presId="urn:microsoft.com/office/officeart/2005/8/layout/process1"/>
  </dgm:cxnLst>
  <dgm:bg/>
  <dgm:whole/>
</dgm:dataModel>
</file>

<file path=word/diagrams/data3.xml><?xml version="1.0" encoding="utf-8"?>
<dgm:dataModel xmlns:dgm="http://schemas.openxmlformats.org/drawingml/2006/diagram" xmlns:a="http://schemas.openxmlformats.org/drawingml/2006/main">
  <dgm:ptLst>
    <dgm:pt modelId="{DBDE2022-4B9B-4B10-AFD2-445722305EC4}" type="doc">
      <dgm:prSet loTypeId="urn:microsoft.com/office/officeart/2005/8/layout/cycle8" loCatId="cycle" qsTypeId="urn:microsoft.com/office/officeart/2005/8/quickstyle/simple5" qsCatId="simple" csTypeId="urn:microsoft.com/office/officeart/2005/8/colors/accent1_1" csCatId="accent1" phldr="1"/>
      <dgm:spPr/>
    </dgm:pt>
    <dgm:pt modelId="{7F760952-047C-4AD4-AC6D-8CE5B925F31A}">
      <dgm:prSet phldrT="[文本]" custT="1"/>
      <dgm:spPr/>
      <dgm:t>
        <a:bodyPr/>
        <a:p>
          <a:r>
            <a:rPr lang="zh-CN" altLang="en-US" sz="1000" b="1" dirty="0">
              <a:effectLst/>
              <a:latin typeface="+mn-lt"/>
              <a:ea typeface="+mn-ea"/>
              <a:cs typeface="+mn-cs"/>
            </a:rPr>
            <a:t>航材</a:t>
          </a:r>
          <a:endParaRPr lang="en-US" altLang="zh-CN" sz="1000" b="1" dirty="0">
            <a:effectLst/>
            <a:latin typeface="+mn-lt"/>
            <a:ea typeface="+mn-ea"/>
            <a:cs typeface="+mn-cs"/>
          </a:endParaRPr>
        </a:p>
        <a:p>
          <a:r>
            <a:rPr lang="zh-CN" altLang="en-US" sz="1000" b="1" dirty="0">
              <a:effectLst/>
              <a:latin typeface="+mn-lt"/>
              <a:ea typeface="+mn-ea"/>
              <a:cs typeface="+mn-cs"/>
            </a:rPr>
            <a:t>加工</a:t>
          </a:r>
          <a:endParaRPr lang="zh-CN" altLang="en-US" sz="1000" b="1" dirty="0"/>
        </a:p>
      </dgm:t>
    </dgm:pt>
    <dgm:pt modelId="{3BF960C0-ADB3-4E1B-A719-8F8DF05B7FAF}" cxnId="{5A9E4F20-2A90-4B95-A03C-F22F4F531F96}" type="parTrans">
      <dgm:prSet/>
      <dgm:spPr/>
      <dgm:t>
        <a:bodyPr/>
        <a:p>
          <a:endParaRPr lang="zh-CN" altLang="en-US" sz="1000" b="1">
            <a:solidFill>
              <a:schemeClr val="tx1"/>
            </a:solidFill>
          </a:endParaRPr>
        </a:p>
      </dgm:t>
    </dgm:pt>
    <dgm:pt modelId="{DC3E996F-5AA4-4A4F-8FF0-9C5824ADAEE4}" cxnId="{5A9E4F20-2A90-4B95-A03C-F22F4F531F96}" type="sibTrans">
      <dgm:prSet/>
      <dgm:spPr/>
      <dgm:t>
        <a:bodyPr/>
        <a:p>
          <a:endParaRPr lang="zh-CN" altLang="en-US" sz="1000" b="1">
            <a:solidFill>
              <a:schemeClr val="tx1"/>
            </a:solidFill>
          </a:endParaRPr>
        </a:p>
      </dgm:t>
    </dgm:pt>
    <dgm:pt modelId="{86ABFB1B-A25E-4C07-909F-152FB3F1B444}">
      <dgm:prSet phldrT="[文本]" custT="1"/>
      <dgm:spPr/>
      <dgm:t>
        <a:bodyPr/>
        <a:p>
          <a:r>
            <a:rPr lang="zh-CN" altLang="en-US" sz="1000" b="1" dirty="0">
              <a:effectLst/>
              <a:latin typeface="+mn-lt"/>
              <a:ea typeface="+mn-ea"/>
              <a:cs typeface="+mn-cs"/>
            </a:rPr>
            <a:t>航材</a:t>
          </a:r>
          <a:endParaRPr lang="en-US" altLang="zh-CN" sz="1000" b="1" dirty="0">
            <a:effectLst/>
            <a:latin typeface="+mn-lt"/>
            <a:ea typeface="+mn-ea"/>
            <a:cs typeface="+mn-cs"/>
          </a:endParaRPr>
        </a:p>
        <a:p>
          <a:r>
            <a:rPr lang="zh-CN" altLang="en-US" sz="1000" b="1" dirty="0">
              <a:effectLst/>
              <a:latin typeface="+mn-lt"/>
              <a:ea typeface="+mn-ea"/>
              <a:cs typeface="+mn-cs"/>
            </a:rPr>
            <a:t>检测</a:t>
          </a:r>
          <a:endParaRPr lang="zh-CN" altLang="en-US" sz="1000" b="1" dirty="0"/>
        </a:p>
      </dgm:t>
    </dgm:pt>
    <dgm:pt modelId="{7A8A2AEA-C292-4BCF-BE88-E22145784AAB}" cxnId="{6DCC4959-7B82-4E61-93F1-DAD61DAA3544}" type="parTrans">
      <dgm:prSet/>
      <dgm:spPr/>
      <dgm:t>
        <a:bodyPr/>
        <a:p>
          <a:endParaRPr lang="zh-CN" altLang="en-US" sz="1000" b="1">
            <a:solidFill>
              <a:schemeClr val="tx1"/>
            </a:solidFill>
          </a:endParaRPr>
        </a:p>
      </dgm:t>
    </dgm:pt>
    <dgm:pt modelId="{A0E69ECC-E3E3-4F04-BCB6-CD808E00EE44}" cxnId="{6DCC4959-7B82-4E61-93F1-DAD61DAA3544}" type="sibTrans">
      <dgm:prSet/>
      <dgm:spPr/>
      <dgm:t>
        <a:bodyPr/>
        <a:p>
          <a:endParaRPr lang="zh-CN" altLang="en-US" sz="1000" b="1">
            <a:solidFill>
              <a:schemeClr val="tx1"/>
            </a:solidFill>
          </a:endParaRPr>
        </a:p>
      </dgm:t>
    </dgm:pt>
    <dgm:pt modelId="{E6151732-4BA5-4DAC-A56E-111A016F9318}">
      <dgm:prSet phldrT="[文本]" custT="1"/>
      <dgm:spPr/>
      <dgm:t>
        <a:bodyPr/>
        <a:p>
          <a:r>
            <a:rPr lang="zh-CN" altLang="en-US" sz="1000" b="1" dirty="0">
              <a:effectLst/>
              <a:latin typeface="+mn-lt"/>
              <a:ea typeface="+mn-ea"/>
              <a:cs typeface="+mn-cs"/>
            </a:rPr>
            <a:t>航材</a:t>
          </a:r>
          <a:endParaRPr lang="en-US" altLang="zh-CN" sz="1000" b="1" dirty="0">
            <a:effectLst/>
            <a:latin typeface="+mn-lt"/>
            <a:ea typeface="+mn-ea"/>
            <a:cs typeface="+mn-cs"/>
          </a:endParaRPr>
        </a:p>
        <a:p>
          <a:r>
            <a:rPr lang="zh-CN" altLang="en-US" sz="1000" b="1" dirty="0">
              <a:effectLst/>
              <a:latin typeface="+mn-lt"/>
              <a:ea typeface="+mn-ea"/>
              <a:cs typeface="+mn-cs"/>
            </a:rPr>
            <a:t>研发</a:t>
          </a:r>
          <a:endParaRPr lang="zh-CN" altLang="en-US" sz="1000" b="1" dirty="0"/>
        </a:p>
      </dgm:t>
    </dgm:pt>
    <dgm:pt modelId="{020E7B89-8D94-4844-9E28-1D2F40D0CF86}" cxnId="{43D5BEE7-ED97-4ADF-B432-7DDC7FB5B381}" type="parTrans">
      <dgm:prSet/>
      <dgm:spPr/>
      <dgm:t>
        <a:bodyPr/>
        <a:p>
          <a:endParaRPr lang="zh-CN" altLang="en-US" sz="1000" b="1">
            <a:solidFill>
              <a:schemeClr val="tx1"/>
            </a:solidFill>
          </a:endParaRPr>
        </a:p>
      </dgm:t>
    </dgm:pt>
    <dgm:pt modelId="{3431E290-24BC-4FC3-BCFE-F741C9C1F0EA}" cxnId="{43D5BEE7-ED97-4ADF-B432-7DDC7FB5B381}" type="sibTrans">
      <dgm:prSet/>
      <dgm:spPr/>
      <dgm:t>
        <a:bodyPr/>
        <a:p>
          <a:endParaRPr lang="zh-CN" altLang="en-US" sz="1000" b="1">
            <a:solidFill>
              <a:schemeClr val="tx1"/>
            </a:solidFill>
          </a:endParaRPr>
        </a:p>
      </dgm:t>
    </dgm:pt>
    <dgm:pt modelId="{2DD53C42-0D91-432A-B383-1DDA82EB969E}" type="pres">
      <dgm:prSet presAssocID="{DBDE2022-4B9B-4B10-AFD2-445722305EC4}" presName="compositeShape" presStyleCnt="0">
        <dgm:presLayoutVars>
          <dgm:chMax val="7"/>
          <dgm:dir/>
          <dgm:resizeHandles val="exact"/>
        </dgm:presLayoutVars>
      </dgm:prSet>
      <dgm:spPr/>
    </dgm:pt>
    <dgm:pt modelId="{425D46C9-E57A-4830-8326-B95DF2792E0A}" type="pres">
      <dgm:prSet presAssocID="{DBDE2022-4B9B-4B10-AFD2-445722305EC4}" presName="wedge1" presStyleLbl="node1" presStyleIdx="0" presStyleCnt="3"/>
      <dgm:spPr/>
      <dgm:t>
        <a:bodyPr/>
        <a:p>
          <a:endParaRPr lang="zh-CN" altLang="en-US"/>
        </a:p>
      </dgm:t>
    </dgm:pt>
    <dgm:pt modelId="{6DB15B80-A322-4F24-AEDF-E32096EAC2FD}" type="pres">
      <dgm:prSet presAssocID="{DBDE2022-4B9B-4B10-AFD2-445722305EC4}" presName="dummy1a" presStyleCnt="0"/>
      <dgm:spPr/>
    </dgm:pt>
    <dgm:pt modelId="{ADC70ED1-30F8-4346-ADB3-E8BCD60F8706}" type="pres">
      <dgm:prSet presAssocID="{DBDE2022-4B9B-4B10-AFD2-445722305EC4}" presName="dummy1b" presStyleCnt="0"/>
      <dgm:spPr/>
    </dgm:pt>
    <dgm:pt modelId="{F7E91CDF-9FBB-4937-BCE3-B026D4998E2F}" type="pres">
      <dgm:prSet presAssocID="{DBDE2022-4B9B-4B10-AFD2-445722305EC4}" presName="wedge1Tx" presStyleLbl="node1" presStyleIdx="0" presStyleCnt="3">
        <dgm:presLayoutVars>
          <dgm:chMax val="0"/>
          <dgm:chPref val="0"/>
          <dgm:bulletEnabled val="1"/>
        </dgm:presLayoutVars>
      </dgm:prSet>
      <dgm:spPr/>
      <dgm:t>
        <a:bodyPr/>
        <a:p>
          <a:endParaRPr lang="zh-CN" altLang="en-US"/>
        </a:p>
      </dgm:t>
    </dgm:pt>
    <dgm:pt modelId="{09E5D5BD-ED58-41B8-B0D6-60EA8E435005}" type="pres">
      <dgm:prSet presAssocID="{DBDE2022-4B9B-4B10-AFD2-445722305EC4}" presName="wedge2" presStyleLbl="node1" presStyleIdx="1" presStyleCnt="3"/>
      <dgm:spPr/>
      <dgm:t>
        <a:bodyPr/>
        <a:p>
          <a:endParaRPr lang="zh-CN" altLang="en-US"/>
        </a:p>
      </dgm:t>
    </dgm:pt>
    <dgm:pt modelId="{27291BB1-3D73-47EA-A1BC-D3843037C7D9}" type="pres">
      <dgm:prSet presAssocID="{DBDE2022-4B9B-4B10-AFD2-445722305EC4}" presName="dummy2a" presStyleCnt="0"/>
      <dgm:spPr/>
    </dgm:pt>
    <dgm:pt modelId="{EB420765-F074-4539-9374-66880C018DB1}" type="pres">
      <dgm:prSet presAssocID="{DBDE2022-4B9B-4B10-AFD2-445722305EC4}" presName="dummy2b" presStyleCnt="0"/>
      <dgm:spPr/>
    </dgm:pt>
    <dgm:pt modelId="{5CEFF3DB-D1B4-4401-8B25-32466500DD85}" type="pres">
      <dgm:prSet presAssocID="{DBDE2022-4B9B-4B10-AFD2-445722305EC4}" presName="wedge2Tx" presStyleLbl="node1" presStyleIdx="1" presStyleCnt="3">
        <dgm:presLayoutVars>
          <dgm:chMax val="0"/>
          <dgm:chPref val="0"/>
          <dgm:bulletEnabled val="1"/>
        </dgm:presLayoutVars>
      </dgm:prSet>
      <dgm:spPr/>
      <dgm:t>
        <a:bodyPr/>
        <a:p>
          <a:endParaRPr lang="zh-CN" altLang="en-US"/>
        </a:p>
      </dgm:t>
    </dgm:pt>
    <dgm:pt modelId="{11B6B24F-C59E-4BFD-9894-E4476C902FB3}" type="pres">
      <dgm:prSet presAssocID="{DBDE2022-4B9B-4B10-AFD2-445722305EC4}" presName="wedge3" presStyleLbl="node1" presStyleIdx="2" presStyleCnt="3"/>
      <dgm:spPr/>
      <dgm:t>
        <a:bodyPr/>
        <a:p>
          <a:endParaRPr lang="zh-CN" altLang="en-US"/>
        </a:p>
      </dgm:t>
    </dgm:pt>
    <dgm:pt modelId="{8DF636F8-3B1B-447B-AC29-6603215ABFC0}" type="pres">
      <dgm:prSet presAssocID="{DBDE2022-4B9B-4B10-AFD2-445722305EC4}" presName="dummy3a" presStyleCnt="0"/>
      <dgm:spPr/>
    </dgm:pt>
    <dgm:pt modelId="{A26C5198-B335-4073-B5F2-E761AB793F54}" type="pres">
      <dgm:prSet presAssocID="{DBDE2022-4B9B-4B10-AFD2-445722305EC4}" presName="dummy3b" presStyleCnt="0"/>
      <dgm:spPr/>
    </dgm:pt>
    <dgm:pt modelId="{F4767A3A-3FAF-4368-9681-39C37B4549BC}" type="pres">
      <dgm:prSet presAssocID="{DBDE2022-4B9B-4B10-AFD2-445722305EC4}" presName="wedge3Tx" presStyleLbl="node1" presStyleIdx="2" presStyleCnt="3">
        <dgm:presLayoutVars>
          <dgm:chMax val="0"/>
          <dgm:chPref val="0"/>
          <dgm:bulletEnabled val="1"/>
        </dgm:presLayoutVars>
      </dgm:prSet>
      <dgm:spPr/>
      <dgm:t>
        <a:bodyPr/>
        <a:p>
          <a:endParaRPr lang="zh-CN" altLang="en-US"/>
        </a:p>
      </dgm:t>
    </dgm:pt>
    <dgm:pt modelId="{C3321833-CB77-404D-800E-71315B2F2D1D}" type="pres">
      <dgm:prSet presAssocID="{DC3E996F-5AA4-4A4F-8FF0-9C5824ADAEE4}" presName="arrowWedge1" presStyleLbl="fgSibTrans2D1" presStyleIdx="0" presStyleCnt="3"/>
      <dgm:spPr/>
    </dgm:pt>
    <dgm:pt modelId="{F8455235-0045-42EF-81C3-03A6B116D218}" type="pres">
      <dgm:prSet presAssocID="{A0E69ECC-E3E3-4F04-BCB6-CD808E00EE44}" presName="arrowWedge2" presStyleLbl="fgSibTrans2D1" presStyleIdx="1" presStyleCnt="3"/>
      <dgm:spPr/>
    </dgm:pt>
    <dgm:pt modelId="{E25C461B-D928-4739-8EA7-EA50ABBECCA9}" type="pres">
      <dgm:prSet presAssocID="{3431E290-24BC-4FC3-BCFE-F741C9C1F0EA}" presName="arrowWedge3" presStyleLbl="fgSibTrans2D1" presStyleIdx="2" presStyleCnt="3"/>
      <dgm:spPr/>
    </dgm:pt>
  </dgm:ptLst>
  <dgm:cxnLst>
    <dgm:cxn modelId="{6DCC4959-7B82-4E61-93F1-DAD61DAA3544}" srcId="{DBDE2022-4B9B-4B10-AFD2-445722305EC4}" destId="{86ABFB1B-A25E-4C07-909F-152FB3F1B444}" srcOrd="1" destOrd="0" parTransId="{7A8A2AEA-C292-4BCF-BE88-E22145784AAB}" sibTransId="{A0E69ECC-E3E3-4F04-BCB6-CD808E00EE44}"/>
    <dgm:cxn modelId="{CB5EC737-539B-4AA0-BAF3-B11DD05FC1DB}" type="presOf" srcId="{E6151732-4BA5-4DAC-A56E-111A016F9318}" destId="{11B6B24F-C59E-4BFD-9894-E4476C902FB3}" srcOrd="0" destOrd="0" presId="urn:microsoft.com/office/officeart/2005/8/layout/cycle8"/>
    <dgm:cxn modelId="{788D70DE-7604-4584-946C-7D2038E9C61A}" type="presOf" srcId="{7F760952-047C-4AD4-AC6D-8CE5B925F31A}" destId="{F7E91CDF-9FBB-4937-BCE3-B026D4998E2F}" srcOrd="1" destOrd="0" presId="urn:microsoft.com/office/officeart/2005/8/layout/cycle8"/>
    <dgm:cxn modelId="{5A9E4F20-2A90-4B95-A03C-F22F4F531F96}" srcId="{DBDE2022-4B9B-4B10-AFD2-445722305EC4}" destId="{7F760952-047C-4AD4-AC6D-8CE5B925F31A}" srcOrd="0" destOrd="0" parTransId="{3BF960C0-ADB3-4E1B-A719-8F8DF05B7FAF}" sibTransId="{DC3E996F-5AA4-4A4F-8FF0-9C5824ADAEE4}"/>
    <dgm:cxn modelId="{9EF6D407-DBCB-44AC-A9C9-1EA27F5DB632}" type="presOf" srcId="{86ABFB1B-A25E-4C07-909F-152FB3F1B444}" destId="{5CEFF3DB-D1B4-4401-8B25-32466500DD85}" srcOrd="1" destOrd="0" presId="urn:microsoft.com/office/officeart/2005/8/layout/cycle8"/>
    <dgm:cxn modelId="{43D5BEE7-ED97-4ADF-B432-7DDC7FB5B381}" srcId="{DBDE2022-4B9B-4B10-AFD2-445722305EC4}" destId="{E6151732-4BA5-4DAC-A56E-111A016F9318}" srcOrd="2" destOrd="0" parTransId="{020E7B89-8D94-4844-9E28-1D2F40D0CF86}" sibTransId="{3431E290-24BC-4FC3-BCFE-F741C9C1F0EA}"/>
    <dgm:cxn modelId="{129286F0-3480-480C-9E3C-59393B566F15}" type="presOf" srcId="{DBDE2022-4B9B-4B10-AFD2-445722305EC4}" destId="{2DD53C42-0D91-432A-B383-1DDA82EB969E}" srcOrd="0" destOrd="0" presId="urn:microsoft.com/office/officeart/2005/8/layout/cycle8"/>
    <dgm:cxn modelId="{795ED4BC-115F-4956-9F3C-85B63E92953A}" type="presOf" srcId="{E6151732-4BA5-4DAC-A56E-111A016F9318}" destId="{F4767A3A-3FAF-4368-9681-39C37B4549BC}" srcOrd="1" destOrd="0" presId="urn:microsoft.com/office/officeart/2005/8/layout/cycle8"/>
    <dgm:cxn modelId="{4A3035A1-47F7-4C83-B83D-C455A96AC021}" type="presOf" srcId="{7F760952-047C-4AD4-AC6D-8CE5B925F31A}" destId="{425D46C9-E57A-4830-8326-B95DF2792E0A}" srcOrd="0" destOrd="0" presId="urn:microsoft.com/office/officeart/2005/8/layout/cycle8"/>
    <dgm:cxn modelId="{A1B5599E-898D-4DF1-BD9A-1D2DEDDB5C85}" type="presOf" srcId="{86ABFB1B-A25E-4C07-909F-152FB3F1B444}" destId="{09E5D5BD-ED58-41B8-B0D6-60EA8E435005}" srcOrd="0" destOrd="0" presId="urn:microsoft.com/office/officeart/2005/8/layout/cycle8"/>
    <dgm:cxn modelId="{0E4DF425-D9E4-42E2-B271-A172EF1E338A}" type="presParOf" srcId="{2DD53C42-0D91-432A-B383-1DDA82EB969E}" destId="{425D46C9-E57A-4830-8326-B95DF2792E0A}" srcOrd="0" destOrd="0" presId="urn:microsoft.com/office/officeart/2005/8/layout/cycle8"/>
    <dgm:cxn modelId="{B55D667A-483B-4995-B70A-2E00D2ED9F42}" type="presParOf" srcId="{2DD53C42-0D91-432A-B383-1DDA82EB969E}" destId="{6DB15B80-A322-4F24-AEDF-E32096EAC2FD}" srcOrd="1" destOrd="0" presId="urn:microsoft.com/office/officeart/2005/8/layout/cycle8"/>
    <dgm:cxn modelId="{A0206406-10AE-4486-AEA6-6FA073232EF9}" type="presParOf" srcId="{2DD53C42-0D91-432A-B383-1DDA82EB969E}" destId="{ADC70ED1-30F8-4346-ADB3-E8BCD60F8706}" srcOrd="2" destOrd="0" presId="urn:microsoft.com/office/officeart/2005/8/layout/cycle8"/>
    <dgm:cxn modelId="{58702F8E-C16E-4BF3-9AE6-1865CCCBE6B9}" type="presParOf" srcId="{2DD53C42-0D91-432A-B383-1DDA82EB969E}" destId="{F7E91CDF-9FBB-4937-BCE3-B026D4998E2F}" srcOrd="3" destOrd="0" presId="urn:microsoft.com/office/officeart/2005/8/layout/cycle8"/>
    <dgm:cxn modelId="{7012B514-367B-4446-99C9-86235B1291D7}" type="presParOf" srcId="{2DD53C42-0D91-432A-B383-1DDA82EB969E}" destId="{09E5D5BD-ED58-41B8-B0D6-60EA8E435005}" srcOrd="4" destOrd="0" presId="urn:microsoft.com/office/officeart/2005/8/layout/cycle8"/>
    <dgm:cxn modelId="{7CDC1322-72FE-4F49-893B-4870B307CD82}" type="presParOf" srcId="{2DD53C42-0D91-432A-B383-1DDA82EB969E}" destId="{27291BB1-3D73-47EA-A1BC-D3843037C7D9}" srcOrd="5" destOrd="0" presId="urn:microsoft.com/office/officeart/2005/8/layout/cycle8"/>
    <dgm:cxn modelId="{25D6251C-43BA-4B41-8E49-30B9BDA2AE95}" type="presParOf" srcId="{2DD53C42-0D91-432A-B383-1DDA82EB969E}" destId="{EB420765-F074-4539-9374-66880C018DB1}" srcOrd="6" destOrd="0" presId="urn:microsoft.com/office/officeart/2005/8/layout/cycle8"/>
    <dgm:cxn modelId="{07C983E4-53F6-4C7F-B947-FA36544146C4}" type="presParOf" srcId="{2DD53C42-0D91-432A-B383-1DDA82EB969E}" destId="{5CEFF3DB-D1B4-4401-8B25-32466500DD85}" srcOrd="7" destOrd="0" presId="urn:microsoft.com/office/officeart/2005/8/layout/cycle8"/>
    <dgm:cxn modelId="{72E993B1-7CA1-46E7-9325-ACBA672E9088}" type="presParOf" srcId="{2DD53C42-0D91-432A-B383-1DDA82EB969E}" destId="{11B6B24F-C59E-4BFD-9894-E4476C902FB3}" srcOrd="8" destOrd="0" presId="urn:microsoft.com/office/officeart/2005/8/layout/cycle8"/>
    <dgm:cxn modelId="{81FDF516-5748-471C-A2FA-D6E073826F5E}" type="presParOf" srcId="{2DD53C42-0D91-432A-B383-1DDA82EB969E}" destId="{8DF636F8-3B1B-447B-AC29-6603215ABFC0}" srcOrd="9" destOrd="0" presId="urn:microsoft.com/office/officeart/2005/8/layout/cycle8"/>
    <dgm:cxn modelId="{1150D64B-175E-433B-954B-F890CD5D7ECF}" type="presParOf" srcId="{2DD53C42-0D91-432A-B383-1DDA82EB969E}" destId="{A26C5198-B335-4073-B5F2-E761AB793F54}" srcOrd="10" destOrd="0" presId="urn:microsoft.com/office/officeart/2005/8/layout/cycle8"/>
    <dgm:cxn modelId="{0D312646-2A5A-401C-BA22-10218446AE38}" type="presParOf" srcId="{2DD53C42-0D91-432A-B383-1DDA82EB969E}" destId="{F4767A3A-3FAF-4368-9681-39C37B4549BC}" srcOrd="11" destOrd="0" presId="urn:microsoft.com/office/officeart/2005/8/layout/cycle8"/>
    <dgm:cxn modelId="{2D0B2933-E781-4882-B42D-12EAA2EC2B81}" type="presParOf" srcId="{2DD53C42-0D91-432A-B383-1DDA82EB969E}" destId="{C3321833-CB77-404D-800E-71315B2F2D1D}" srcOrd="12" destOrd="0" presId="urn:microsoft.com/office/officeart/2005/8/layout/cycle8"/>
    <dgm:cxn modelId="{F82B7632-3889-4B7F-B99F-AB81519B0F1F}" type="presParOf" srcId="{2DD53C42-0D91-432A-B383-1DDA82EB969E}" destId="{F8455235-0045-42EF-81C3-03A6B116D218}" srcOrd="13" destOrd="0" presId="urn:microsoft.com/office/officeart/2005/8/layout/cycle8"/>
    <dgm:cxn modelId="{92AA7B7F-CA94-4774-B544-F8F6CDE0E8C7}" type="presParOf" srcId="{2DD53C42-0D91-432A-B383-1DDA82EB969E}" destId="{E25C461B-D928-4739-8EA7-EA50ABBECCA9}" srcOrd="14" destOrd="0" presId="urn:microsoft.com/office/officeart/2005/8/layout/cycle8"/>
  </dgm:cxnLst>
  <dgm:bg/>
  <dgm:whole/>
</dgm:dataModel>
</file>

<file path=word/diagrams/data4.xml><?xml version="1.0" encoding="utf-8"?>
<dgm:dataModel xmlns:dgm="http://schemas.openxmlformats.org/drawingml/2006/diagram" xmlns:a="http://schemas.openxmlformats.org/drawingml/2006/main">
  <dgm:ptLst>
    <dgm:pt modelId="{FA66B098-8170-4C7B-8E64-2DBA0A33071B}" type="doc">
      <dgm:prSet loTypeId="urn:microsoft.com/office/officeart/2005/8/layout/vList6" loCatId="list" qsTypeId="urn:microsoft.com/office/officeart/2005/8/quickstyle/simple1" qsCatId="simple" csTypeId="urn:microsoft.com/office/officeart/2005/8/colors/colorful1#1" csCatId="colorful" phldr="1"/>
      <dgm:spPr/>
      <dgm:t>
        <a:bodyPr/>
        <a:p>
          <a:endParaRPr lang="zh-CN" altLang="en-US"/>
        </a:p>
      </dgm:t>
    </dgm:pt>
    <dgm:pt modelId="{E222A034-59AE-466F-BC1B-277B61C84A95}">
      <dgm:prSet phldrT="[文本]" custT="1"/>
      <dgm:spPr/>
      <dgm:t>
        <a:bodyPr/>
        <a:p>
          <a:r>
            <a:rPr lang="zh-CN" altLang="en-US" sz="1000" dirty="0">
              <a:latin typeface="微软雅黑" panose="020B0503020204020204" pitchFamily="2" charset="-122"/>
              <a:ea typeface="微软雅黑" panose="020B0503020204020204" pitchFamily="2" charset="-122"/>
            </a:rPr>
            <a:t>耐高温、强度高</a:t>
          </a:r>
        </a:p>
      </dgm:t>
    </dgm:pt>
    <dgm:pt modelId="{E28A21CA-CCC1-4479-9071-BFBE9E6925A7}" cxnId="{9D76B717-E793-4579-9890-868BD4632594}" type="parTrans">
      <dgm:prSet/>
      <dgm:spPr/>
      <dgm:t>
        <a:bodyPr/>
        <a:p>
          <a:endParaRPr lang="zh-CN" altLang="en-US" sz="800"/>
        </a:p>
      </dgm:t>
    </dgm:pt>
    <dgm:pt modelId="{C5EAD5B8-D760-42FB-A9DA-A132717BEDD3}" cxnId="{9D76B717-E793-4579-9890-868BD4632594}" type="sibTrans">
      <dgm:prSet/>
      <dgm:spPr/>
      <dgm:t>
        <a:bodyPr/>
        <a:p>
          <a:endParaRPr lang="zh-CN" altLang="en-US" sz="800"/>
        </a:p>
      </dgm:t>
    </dgm:pt>
    <dgm:pt modelId="{6EF0190D-7EBA-4B84-B8D2-C0D11EB058CD}">
      <dgm:prSet phldrT="[文本]" custT="1"/>
      <dgm:spPr/>
      <dgm:t>
        <a:bodyPr/>
        <a:p>
          <a:r>
            <a:rPr lang="zh-CN" altLang="en-US" sz="1000" dirty="0">
              <a:latin typeface="微软雅黑" panose="020B0503020204020204" pitchFamily="2" charset="-122"/>
              <a:ea typeface="微软雅黑" panose="020B0503020204020204" pitchFamily="2" charset="-122"/>
            </a:rPr>
            <a:t>制汽轮机叶片、轴承、永久性模具</a:t>
          </a:r>
        </a:p>
      </dgm:t>
    </dgm:pt>
    <dgm:pt modelId="{3303359E-260D-4D35-9157-013A66055B5F}" cxnId="{9709F5B6-FC3F-4E41-9D24-18D1ACD5E3E6}" type="parTrans">
      <dgm:prSet/>
      <dgm:spPr/>
      <dgm:t>
        <a:bodyPr/>
        <a:p>
          <a:endParaRPr lang="zh-CN" altLang="en-US" sz="800"/>
        </a:p>
      </dgm:t>
    </dgm:pt>
    <dgm:pt modelId="{E3FB65CB-A190-46E6-AE61-D9A6FA3295BC}" cxnId="{9709F5B6-FC3F-4E41-9D24-18D1ACD5E3E6}" type="sibTrans">
      <dgm:prSet/>
      <dgm:spPr/>
      <dgm:t>
        <a:bodyPr/>
        <a:p>
          <a:endParaRPr lang="zh-CN" altLang="en-US" sz="800"/>
        </a:p>
      </dgm:t>
    </dgm:pt>
    <dgm:pt modelId="{399ED517-2144-4218-B3A0-691617FA7270}">
      <dgm:prSet phldrT="[文本]" custT="1"/>
      <dgm:spPr/>
      <dgm:t>
        <a:bodyPr/>
        <a:p>
          <a:r>
            <a:rPr lang="zh-CN" altLang="en-US" sz="1050" dirty="0">
              <a:latin typeface="微软雅黑" panose="020B0503020204020204" pitchFamily="2" charset="-122"/>
              <a:ea typeface="微软雅黑" panose="020B0503020204020204" pitchFamily="2" charset="-122"/>
            </a:rPr>
            <a:t>具有</a:t>
          </a:r>
          <a:r>
            <a:rPr lang="zh-CN" altLang="en-US" sz="1000" dirty="0">
              <a:latin typeface="微软雅黑" panose="020B0503020204020204" pitchFamily="2" charset="-122"/>
              <a:ea typeface="微软雅黑" panose="020B0503020204020204" pitchFamily="2" charset="-122"/>
            </a:rPr>
            <a:t>电学</a:t>
          </a:r>
          <a:r>
            <a:rPr lang="zh-CN" altLang="en-US" sz="1050" dirty="0">
              <a:latin typeface="微软雅黑" panose="020B0503020204020204" pitchFamily="2" charset="-122"/>
              <a:ea typeface="微软雅黑" panose="020B0503020204020204" pitchFamily="2" charset="-122"/>
            </a:rPr>
            <a:t>特性的</a:t>
          </a:r>
        </a:p>
      </dgm:t>
    </dgm:pt>
    <dgm:pt modelId="{A44C11C4-B701-498F-9E02-94A2E1177C3E}" cxnId="{82E4BA38-99B7-434A-BB65-E0471287C630}" type="parTrans">
      <dgm:prSet/>
      <dgm:spPr/>
      <dgm:t>
        <a:bodyPr/>
        <a:p>
          <a:endParaRPr lang="zh-CN" altLang="en-US" sz="800"/>
        </a:p>
      </dgm:t>
    </dgm:pt>
    <dgm:pt modelId="{EA96BBDA-55F0-4AF8-8537-411971D1719D}" cxnId="{82E4BA38-99B7-434A-BB65-E0471287C630}" type="sibTrans">
      <dgm:prSet/>
      <dgm:spPr/>
      <dgm:t>
        <a:bodyPr/>
        <a:p>
          <a:endParaRPr lang="zh-CN" altLang="en-US" sz="800"/>
        </a:p>
      </dgm:t>
    </dgm:pt>
    <dgm:pt modelId="{7D98E149-723B-4841-A1DB-9DB82405745B}">
      <dgm:prSet phldrT="[文本]" custT="1"/>
      <dgm:spPr/>
      <dgm:t>
        <a:bodyPr/>
        <a:p>
          <a:r>
            <a:rPr lang="zh-CN" altLang="en-US" sz="1000" dirty="0">
              <a:latin typeface="微软雅黑" panose="020B0503020204020204" pitchFamily="2" charset="-122"/>
              <a:ea typeface="微软雅黑" panose="020B0503020204020204" pitchFamily="2" charset="-122"/>
            </a:rPr>
            <a:t>作绝缘体、半导体、导体、超导体等</a:t>
          </a:r>
        </a:p>
      </dgm:t>
    </dgm:pt>
    <dgm:pt modelId="{8048C573-9867-437D-AAD7-7D2F83786F39}" cxnId="{5A53850D-DABC-4390-8299-8DFD0BEEEC9B}" type="parTrans">
      <dgm:prSet/>
      <dgm:spPr/>
      <dgm:t>
        <a:bodyPr/>
        <a:p>
          <a:endParaRPr lang="zh-CN" altLang="en-US" sz="800"/>
        </a:p>
      </dgm:t>
    </dgm:pt>
    <dgm:pt modelId="{109B0A90-7C82-4DBC-A83A-A3739E23C309}" cxnId="{5A53850D-DABC-4390-8299-8DFD0BEEEC9B}" type="sibTrans">
      <dgm:prSet/>
      <dgm:spPr/>
      <dgm:t>
        <a:bodyPr/>
        <a:p>
          <a:endParaRPr lang="zh-CN" altLang="en-US" sz="800"/>
        </a:p>
      </dgm:t>
    </dgm:pt>
    <dgm:pt modelId="{F53821D1-8B3D-4AC4-B3A1-96A4C3471976}">
      <dgm:prSet phldrT="[文本]" custT="1"/>
      <dgm:spPr/>
      <dgm:t>
        <a:bodyPr/>
        <a:p>
          <a:r>
            <a:rPr lang="zh-CN" altLang="en-US" sz="1050" dirty="0">
              <a:latin typeface="微软雅黑" panose="020B0503020204020204" pitchFamily="2" charset="-122"/>
              <a:ea typeface="微软雅黑" panose="020B0503020204020204" pitchFamily="2" charset="-122"/>
            </a:rPr>
            <a:t>具有</a:t>
          </a:r>
          <a:r>
            <a:rPr lang="zh-CN" altLang="en-US" sz="1000" dirty="0">
              <a:latin typeface="微软雅黑" panose="020B0503020204020204" pitchFamily="2" charset="-122"/>
              <a:ea typeface="微软雅黑" panose="020B0503020204020204" pitchFamily="2" charset="-122"/>
            </a:rPr>
            <a:t>光学</a:t>
          </a:r>
          <a:r>
            <a:rPr lang="zh-CN" altLang="en-US" sz="1050" dirty="0">
              <a:latin typeface="微软雅黑" panose="020B0503020204020204" pitchFamily="2" charset="-122"/>
              <a:ea typeface="微软雅黑" panose="020B0503020204020204" pitchFamily="2" charset="-122"/>
            </a:rPr>
            <a:t>特性的</a:t>
          </a:r>
        </a:p>
      </dgm:t>
    </dgm:pt>
    <dgm:pt modelId="{5EEEC537-DE1F-4159-99E7-A93049A75777}" cxnId="{F26B89DF-8AB0-4CD6-A759-6014A84AFE85}" type="parTrans">
      <dgm:prSet/>
      <dgm:spPr/>
      <dgm:t>
        <a:bodyPr/>
        <a:p>
          <a:endParaRPr lang="zh-CN" altLang="en-US" sz="800"/>
        </a:p>
      </dgm:t>
    </dgm:pt>
    <dgm:pt modelId="{5432EA20-FF6C-4B00-A4FA-C85BC67AB69B}" cxnId="{F26B89DF-8AB0-4CD6-A759-6014A84AFE85}" type="sibTrans">
      <dgm:prSet/>
      <dgm:spPr/>
      <dgm:t>
        <a:bodyPr/>
        <a:p>
          <a:endParaRPr lang="zh-CN" altLang="en-US" sz="800"/>
        </a:p>
      </dgm:t>
    </dgm:pt>
    <dgm:pt modelId="{FBFA2B8E-DD0C-40B7-8CAD-2F1B782213F2}">
      <dgm:prSet phldrT="[文本]" custT="1"/>
      <dgm:spPr/>
      <dgm:t>
        <a:bodyPr/>
        <a:p>
          <a:r>
            <a:rPr lang="zh-CN" altLang="en-US" sz="1000" dirty="0">
              <a:latin typeface="微软雅黑" panose="020B0503020204020204" pitchFamily="2" charset="-122"/>
              <a:ea typeface="微软雅黑" panose="020B0503020204020204" pitchFamily="2" charset="-122"/>
            </a:rPr>
            <a:t>用于医疗、信息处理、通讯等</a:t>
          </a:r>
        </a:p>
      </dgm:t>
    </dgm:pt>
    <dgm:pt modelId="{42D1257D-8493-405F-8CCD-AC6F8E524F91}" cxnId="{D460BA77-24AC-404A-9AA4-D7CB9FBFAAE8}" type="parTrans">
      <dgm:prSet/>
      <dgm:spPr/>
      <dgm:t>
        <a:bodyPr/>
        <a:p>
          <a:endParaRPr lang="zh-CN" altLang="en-US" sz="800"/>
        </a:p>
      </dgm:t>
    </dgm:pt>
    <dgm:pt modelId="{5DD6D993-92E9-425A-A61C-0DAC301538AD}" cxnId="{D460BA77-24AC-404A-9AA4-D7CB9FBFAAE8}" type="sibTrans">
      <dgm:prSet/>
      <dgm:spPr/>
      <dgm:t>
        <a:bodyPr/>
        <a:p>
          <a:endParaRPr lang="zh-CN" altLang="en-US" sz="800"/>
        </a:p>
      </dgm:t>
    </dgm:pt>
    <dgm:pt modelId="{5F1FFF59-5699-4712-91F0-CEB22B8837E0}">
      <dgm:prSet phldrT="[文本]" custT="1"/>
      <dgm:spPr/>
      <dgm:t>
        <a:bodyPr/>
        <a:p>
          <a:r>
            <a:rPr lang="zh-CN" altLang="en-US" sz="1050" dirty="0">
              <a:latin typeface="微软雅黑" panose="020B0503020204020204" pitchFamily="2" charset="-122"/>
              <a:ea typeface="微软雅黑" panose="020B0503020204020204" pitchFamily="2" charset="-122"/>
            </a:rPr>
            <a:t>具有</a:t>
          </a:r>
          <a:r>
            <a:rPr lang="zh-CN" altLang="en-US" sz="1000" dirty="0">
              <a:latin typeface="微软雅黑" panose="020B0503020204020204" pitchFamily="2" charset="-122"/>
              <a:ea typeface="微软雅黑" panose="020B0503020204020204" pitchFamily="2" charset="-122"/>
            </a:rPr>
            <a:t>生物</a:t>
          </a:r>
          <a:r>
            <a:rPr lang="zh-CN" altLang="en-US" sz="1050" dirty="0">
              <a:latin typeface="微软雅黑" panose="020B0503020204020204" pitchFamily="2" charset="-122"/>
              <a:ea typeface="微软雅黑" panose="020B0503020204020204" pitchFamily="2" charset="-122"/>
            </a:rPr>
            <a:t>功能</a:t>
          </a:r>
        </a:p>
      </dgm:t>
    </dgm:pt>
    <dgm:pt modelId="{EB58F71A-C43A-4039-AB9E-6028010E3DDA}" cxnId="{63160F5D-F489-45E5-BF40-D5572CF1C8FA}" type="parTrans">
      <dgm:prSet/>
      <dgm:spPr/>
      <dgm:t>
        <a:bodyPr/>
        <a:p>
          <a:endParaRPr lang="zh-CN" altLang="en-US" sz="800"/>
        </a:p>
      </dgm:t>
    </dgm:pt>
    <dgm:pt modelId="{70BDE1DE-AA14-487B-88B7-15033BB8412C}" cxnId="{63160F5D-F489-45E5-BF40-D5572CF1C8FA}" type="sibTrans">
      <dgm:prSet/>
      <dgm:spPr/>
      <dgm:t>
        <a:bodyPr/>
        <a:p>
          <a:endParaRPr lang="zh-CN" altLang="en-US" sz="800"/>
        </a:p>
      </dgm:t>
    </dgm:pt>
    <dgm:pt modelId="{97B7288B-877F-474A-82F7-86327ED87255}">
      <dgm:prSet phldrT="[文本]" custT="1"/>
      <dgm:spPr/>
      <dgm:t>
        <a:bodyPr/>
        <a:p>
          <a:r>
            <a:rPr lang="zh-CN" altLang="en-US" sz="1000" dirty="0">
              <a:latin typeface="微软雅黑" panose="020B0503020204020204" pitchFamily="2" charset="-122"/>
              <a:ea typeface="微软雅黑" panose="020B0503020204020204" pitchFamily="2" charset="-122"/>
            </a:rPr>
            <a:t>用于制人造牙齿、人造骨骼等</a:t>
          </a:r>
        </a:p>
      </dgm:t>
    </dgm:pt>
    <dgm:pt modelId="{DD8EB4D2-9BCB-435A-A931-113929C70F12}" cxnId="{92EEE665-4082-4614-A37B-3205462D16FC}" type="parTrans">
      <dgm:prSet/>
      <dgm:spPr/>
      <dgm:t>
        <a:bodyPr/>
        <a:p>
          <a:endParaRPr lang="zh-CN" altLang="en-US" sz="800"/>
        </a:p>
      </dgm:t>
    </dgm:pt>
    <dgm:pt modelId="{0B46D0B5-5475-4885-B8E5-7264BE92D8AA}" cxnId="{92EEE665-4082-4614-A37B-3205462D16FC}" type="sibTrans">
      <dgm:prSet/>
      <dgm:spPr/>
      <dgm:t>
        <a:bodyPr/>
        <a:p>
          <a:endParaRPr lang="zh-CN" altLang="en-US" sz="800"/>
        </a:p>
      </dgm:t>
    </dgm:pt>
    <dgm:pt modelId="{D871E0F5-DFEA-4EF0-A0C8-392AE2EE1AB4}" type="pres">
      <dgm:prSet presAssocID="{FA66B098-8170-4C7B-8E64-2DBA0A33071B}" presName="Name0" presStyleCnt="0">
        <dgm:presLayoutVars>
          <dgm:dir/>
          <dgm:animLvl val="lvl"/>
          <dgm:resizeHandles/>
        </dgm:presLayoutVars>
      </dgm:prSet>
      <dgm:spPr/>
      <dgm:t>
        <a:bodyPr/>
        <a:p>
          <a:endParaRPr lang="zh-CN" altLang="en-US"/>
        </a:p>
      </dgm:t>
    </dgm:pt>
    <dgm:pt modelId="{24D2DF54-FE8A-477B-AC2F-C4EBEF8CA56C}" type="pres">
      <dgm:prSet presAssocID="{E222A034-59AE-466F-BC1B-277B61C84A95}" presName="linNode" presStyleCnt="0"/>
      <dgm:spPr/>
    </dgm:pt>
    <dgm:pt modelId="{92E7B6DC-D75C-4EAB-A0EC-A53A489CE1A9}" type="pres">
      <dgm:prSet presAssocID="{E222A034-59AE-466F-BC1B-277B61C84A95}" presName="parentShp" presStyleLbl="node1" presStyleIdx="0" presStyleCnt="4">
        <dgm:presLayoutVars>
          <dgm:bulletEnabled val="1"/>
        </dgm:presLayoutVars>
      </dgm:prSet>
      <dgm:spPr/>
      <dgm:t>
        <a:bodyPr/>
        <a:p>
          <a:endParaRPr lang="zh-CN" altLang="en-US"/>
        </a:p>
      </dgm:t>
    </dgm:pt>
    <dgm:pt modelId="{75A2BE01-40D1-4E9D-83E0-FCFE0F5A1D56}" type="pres">
      <dgm:prSet presAssocID="{E222A034-59AE-466F-BC1B-277B61C84A95}" presName="childShp" presStyleLbl="bgAccFollowNode1" presStyleIdx="0" presStyleCnt="4">
        <dgm:presLayoutVars>
          <dgm:bulletEnabled val="1"/>
        </dgm:presLayoutVars>
      </dgm:prSet>
      <dgm:spPr/>
      <dgm:t>
        <a:bodyPr/>
        <a:p>
          <a:endParaRPr lang="zh-CN" altLang="en-US"/>
        </a:p>
      </dgm:t>
    </dgm:pt>
    <dgm:pt modelId="{0FD3B987-847A-4158-A1CD-82E74B61C62B}" type="pres">
      <dgm:prSet presAssocID="{C5EAD5B8-D760-42FB-A9DA-A132717BEDD3}" presName="spacing" presStyleCnt="0"/>
      <dgm:spPr/>
    </dgm:pt>
    <dgm:pt modelId="{31949BBC-DE16-4042-8C07-9ACDF0D427AD}" type="pres">
      <dgm:prSet presAssocID="{399ED517-2144-4218-B3A0-691617FA7270}" presName="linNode" presStyleCnt="0"/>
      <dgm:spPr/>
    </dgm:pt>
    <dgm:pt modelId="{D4449B0D-A7F5-482A-BF1F-38993CC549EF}" type="pres">
      <dgm:prSet presAssocID="{399ED517-2144-4218-B3A0-691617FA7270}" presName="parentShp" presStyleLbl="node1" presStyleIdx="1" presStyleCnt="4">
        <dgm:presLayoutVars>
          <dgm:bulletEnabled val="1"/>
        </dgm:presLayoutVars>
      </dgm:prSet>
      <dgm:spPr/>
      <dgm:t>
        <a:bodyPr/>
        <a:p>
          <a:endParaRPr lang="zh-CN" altLang="en-US"/>
        </a:p>
      </dgm:t>
    </dgm:pt>
    <dgm:pt modelId="{8E739CB7-5BA7-46E1-8BDD-371368219307}" type="pres">
      <dgm:prSet presAssocID="{399ED517-2144-4218-B3A0-691617FA7270}" presName="childShp" presStyleLbl="bgAccFollowNode1" presStyleIdx="1" presStyleCnt="4">
        <dgm:presLayoutVars>
          <dgm:bulletEnabled val="1"/>
        </dgm:presLayoutVars>
      </dgm:prSet>
      <dgm:spPr/>
      <dgm:t>
        <a:bodyPr/>
        <a:p>
          <a:endParaRPr lang="zh-CN" altLang="en-US"/>
        </a:p>
      </dgm:t>
    </dgm:pt>
    <dgm:pt modelId="{DF7E136E-937E-48D9-9B70-20F9ADD404F5}" type="pres">
      <dgm:prSet presAssocID="{EA96BBDA-55F0-4AF8-8537-411971D1719D}" presName="spacing" presStyleCnt="0"/>
      <dgm:spPr/>
    </dgm:pt>
    <dgm:pt modelId="{20A23BFB-57FE-4A49-9A94-8B02A127BD46}" type="pres">
      <dgm:prSet presAssocID="{F53821D1-8B3D-4AC4-B3A1-96A4C3471976}" presName="linNode" presStyleCnt="0"/>
      <dgm:spPr/>
    </dgm:pt>
    <dgm:pt modelId="{1D8BB08F-175C-46BC-ABED-4DC7CB813C28}" type="pres">
      <dgm:prSet presAssocID="{F53821D1-8B3D-4AC4-B3A1-96A4C3471976}" presName="parentShp" presStyleLbl="node1" presStyleIdx="2" presStyleCnt="4">
        <dgm:presLayoutVars>
          <dgm:bulletEnabled val="1"/>
        </dgm:presLayoutVars>
      </dgm:prSet>
      <dgm:spPr/>
      <dgm:t>
        <a:bodyPr/>
        <a:p>
          <a:endParaRPr lang="zh-CN" altLang="en-US"/>
        </a:p>
      </dgm:t>
    </dgm:pt>
    <dgm:pt modelId="{63E0DAE2-C76A-4B59-B371-8C7AFE8C98FA}" type="pres">
      <dgm:prSet presAssocID="{F53821D1-8B3D-4AC4-B3A1-96A4C3471976}" presName="childShp" presStyleLbl="bgAccFollowNode1" presStyleIdx="2" presStyleCnt="4">
        <dgm:presLayoutVars>
          <dgm:bulletEnabled val="1"/>
        </dgm:presLayoutVars>
      </dgm:prSet>
      <dgm:spPr/>
      <dgm:t>
        <a:bodyPr/>
        <a:p>
          <a:endParaRPr lang="zh-CN" altLang="en-US"/>
        </a:p>
      </dgm:t>
    </dgm:pt>
    <dgm:pt modelId="{840B30C1-E48C-4D6A-B2AE-23319CA6156F}" type="pres">
      <dgm:prSet presAssocID="{5432EA20-FF6C-4B00-A4FA-C85BC67AB69B}" presName="spacing" presStyleCnt="0"/>
      <dgm:spPr/>
    </dgm:pt>
    <dgm:pt modelId="{1E09AB0D-5347-4475-9F4B-D7A1019A5C92}" type="pres">
      <dgm:prSet presAssocID="{5F1FFF59-5699-4712-91F0-CEB22B8837E0}" presName="linNode" presStyleCnt="0"/>
      <dgm:spPr/>
    </dgm:pt>
    <dgm:pt modelId="{1C1C704F-5019-4E88-860F-323B84B650D4}" type="pres">
      <dgm:prSet presAssocID="{5F1FFF59-5699-4712-91F0-CEB22B8837E0}" presName="parentShp" presStyleLbl="node1" presStyleIdx="3" presStyleCnt="4">
        <dgm:presLayoutVars>
          <dgm:bulletEnabled val="1"/>
        </dgm:presLayoutVars>
      </dgm:prSet>
      <dgm:spPr/>
      <dgm:t>
        <a:bodyPr/>
        <a:p>
          <a:endParaRPr lang="zh-CN" altLang="en-US"/>
        </a:p>
      </dgm:t>
    </dgm:pt>
    <dgm:pt modelId="{4885F32D-4DC4-4C56-BC79-C41C18E03303}" type="pres">
      <dgm:prSet presAssocID="{5F1FFF59-5699-4712-91F0-CEB22B8837E0}" presName="childShp" presStyleLbl="bgAccFollowNode1" presStyleIdx="3" presStyleCnt="4">
        <dgm:presLayoutVars>
          <dgm:bulletEnabled val="1"/>
        </dgm:presLayoutVars>
      </dgm:prSet>
      <dgm:spPr/>
      <dgm:t>
        <a:bodyPr/>
        <a:p>
          <a:endParaRPr lang="zh-CN" altLang="en-US"/>
        </a:p>
      </dgm:t>
    </dgm:pt>
  </dgm:ptLst>
  <dgm:cxnLst>
    <dgm:cxn modelId="{E0C5E868-FEA9-46A0-A5C8-94B095A1C530}" type="presOf" srcId="{E222A034-59AE-466F-BC1B-277B61C84A95}" destId="{92E7B6DC-D75C-4EAB-A0EC-A53A489CE1A9}" srcOrd="0" destOrd="0" presId="urn:microsoft.com/office/officeart/2005/8/layout/vList6"/>
    <dgm:cxn modelId="{92EEE665-4082-4614-A37B-3205462D16FC}" srcId="{5F1FFF59-5699-4712-91F0-CEB22B8837E0}" destId="{97B7288B-877F-474A-82F7-86327ED87255}" srcOrd="0" destOrd="0" parTransId="{DD8EB4D2-9BCB-435A-A931-113929C70F12}" sibTransId="{0B46D0B5-5475-4885-B8E5-7264BE92D8AA}"/>
    <dgm:cxn modelId="{9709F5B6-FC3F-4E41-9D24-18D1ACD5E3E6}" srcId="{E222A034-59AE-466F-BC1B-277B61C84A95}" destId="{6EF0190D-7EBA-4B84-B8D2-C0D11EB058CD}" srcOrd="0" destOrd="0" parTransId="{3303359E-260D-4D35-9157-013A66055B5F}" sibTransId="{E3FB65CB-A190-46E6-AE61-D9A6FA3295BC}"/>
    <dgm:cxn modelId="{D460BA77-24AC-404A-9AA4-D7CB9FBFAAE8}" srcId="{F53821D1-8B3D-4AC4-B3A1-96A4C3471976}" destId="{FBFA2B8E-DD0C-40B7-8CAD-2F1B782213F2}" srcOrd="0" destOrd="0" parTransId="{42D1257D-8493-405F-8CCD-AC6F8E524F91}" sibTransId="{5DD6D993-92E9-425A-A61C-0DAC301538AD}"/>
    <dgm:cxn modelId="{57362F2C-76A3-44AF-8AE4-7A5EC62E71B6}" type="presOf" srcId="{F53821D1-8B3D-4AC4-B3A1-96A4C3471976}" destId="{1D8BB08F-175C-46BC-ABED-4DC7CB813C28}" srcOrd="0" destOrd="0" presId="urn:microsoft.com/office/officeart/2005/8/layout/vList6"/>
    <dgm:cxn modelId="{63160F5D-F489-45E5-BF40-D5572CF1C8FA}" srcId="{FA66B098-8170-4C7B-8E64-2DBA0A33071B}" destId="{5F1FFF59-5699-4712-91F0-CEB22B8837E0}" srcOrd="3" destOrd="0" parTransId="{EB58F71A-C43A-4039-AB9E-6028010E3DDA}" sibTransId="{70BDE1DE-AA14-487B-88B7-15033BB8412C}"/>
    <dgm:cxn modelId="{9D76B717-E793-4579-9890-868BD4632594}" srcId="{FA66B098-8170-4C7B-8E64-2DBA0A33071B}" destId="{E222A034-59AE-466F-BC1B-277B61C84A95}" srcOrd="0" destOrd="0" parTransId="{E28A21CA-CCC1-4479-9071-BFBE9E6925A7}" sibTransId="{C5EAD5B8-D760-42FB-A9DA-A132717BEDD3}"/>
    <dgm:cxn modelId="{F26B89DF-8AB0-4CD6-A759-6014A84AFE85}" srcId="{FA66B098-8170-4C7B-8E64-2DBA0A33071B}" destId="{F53821D1-8B3D-4AC4-B3A1-96A4C3471976}" srcOrd="2" destOrd="0" parTransId="{5EEEC537-DE1F-4159-99E7-A93049A75777}" sibTransId="{5432EA20-FF6C-4B00-A4FA-C85BC67AB69B}"/>
    <dgm:cxn modelId="{5A53850D-DABC-4390-8299-8DFD0BEEEC9B}" srcId="{399ED517-2144-4218-B3A0-691617FA7270}" destId="{7D98E149-723B-4841-A1DB-9DB82405745B}" srcOrd="0" destOrd="0" parTransId="{8048C573-9867-437D-AAD7-7D2F83786F39}" sibTransId="{109B0A90-7C82-4DBC-A83A-A3739E23C309}"/>
    <dgm:cxn modelId="{4BF3AB97-6391-489B-9835-15B801E94114}" type="presOf" srcId="{5F1FFF59-5699-4712-91F0-CEB22B8837E0}" destId="{1C1C704F-5019-4E88-860F-323B84B650D4}" srcOrd="0" destOrd="0" presId="urn:microsoft.com/office/officeart/2005/8/layout/vList6"/>
    <dgm:cxn modelId="{AD55FAEC-73D2-4C05-9A0A-3B9AB8E90821}" type="presOf" srcId="{6EF0190D-7EBA-4B84-B8D2-C0D11EB058CD}" destId="{75A2BE01-40D1-4E9D-83E0-FCFE0F5A1D56}" srcOrd="0" destOrd="0" presId="urn:microsoft.com/office/officeart/2005/8/layout/vList6"/>
    <dgm:cxn modelId="{82E4BA38-99B7-434A-BB65-E0471287C630}" srcId="{FA66B098-8170-4C7B-8E64-2DBA0A33071B}" destId="{399ED517-2144-4218-B3A0-691617FA7270}" srcOrd="1" destOrd="0" parTransId="{A44C11C4-B701-498F-9E02-94A2E1177C3E}" sibTransId="{EA96BBDA-55F0-4AF8-8537-411971D1719D}"/>
    <dgm:cxn modelId="{49E67117-A34F-4717-A7A6-C2FA9D536AB7}" type="presOf" srcId="{FBFA2B8E-DD0C-40B7-8CAD-2F1B782213F2}" destId="{63E0DAE2-C76A-4B59-B371-8C7AFE8C98FA}" srcOrd="0" destOrd="0" presId="urn:microsoft.com/office/officeart/2005/8/layout/vList6"/>
    <dgm:cxn modelId="{4B478C2E-027C-411A-9E7C-044543E3AC11}" type="presOf" srcId="{FA66B098-8170-4C7B-8E64-2DBA0A33071B}" destId="{D871E0F5-DFEA-4EF0-A0C8-392AE2EE1AB4}" srcOrd="0" destOrd="0" presId="urn:microsoft.com/office/officeart/2005/8/layout/vList6"/>
    <dgm:cxn modelId="{2943FBA9-8247-43D5-A94C-B3A807B9904D}" type="presOf" srcId="{7D98E149-723B-4841-A1DB-9DB82405745B}" destId="{8E739CB7-5BA7-46E1-8BDD-371368219307}" srcOrd="0" destOrd="0" presId="urn:microsoft.com/office/officeart/2005/8/layout/vList6"/>
    <dgm:cxn modelId="{A1668854-21D9-4533-884A-695A2BF09792}" type="presOf" srcId="{399ED517-2144-4218-B3A0-691617FA7270}" destId="{D4449B0D-A7F5-482A-BF1F-38993CC549EF}" srcOrd="0" destOrd="0" presId="urn:microsoft.com/office/officeart/2005/8/layout/vList6"/>
    <dgm:cxn modelId="{ADC7002A-ED21-401E-ADE9-AF7E828E69C8}" type="presOf" srcId="{97B7288B-877F-474A-82F7-86327ED87255}" destId="{4885F32D-4DC4-4C56-BC79-C41C18E03303}" srcOrd="0" destOrd="0" presId="urn:microsoft.com/office/officeart/2005/8/layout/vList6"/>
    <dgm:cxn modelId="{64ED93B8-C035-4BE9-B67E-95D4B6D03D2F}" type="presParOf" srcId="{D871E0F5-DFEA-4EF0-A0C8-392AE2EE1AB4}" destId="{24D2DF54-FE8A-477B-AC2F-C4EBEF8CA56C}" srcOrd="0" destOrd="0" presId="urn:microsoft.com/office/officeart/2005/8/layout/vList6"/>
    <dgm:cxn modelId="{1551C04F-744C-4B47-9F5A-9567C5C4D956}" type="presParOf" srcId="{24D2DF54-FE8A-477B-AC2F-C4EBEF8CA56C}" destId="{92E7B6DC-D75C-4EAB-A0EC-A53A489CE1A9}" srcOrd="0" destOrd="0" presId="urn:microsoft.com/office/officeart/2005/8/layout/vList6"/>
    <dgm:cxn modelId="{7511D794-0835-4754-B546-3262B5CD3552}" type="presParOf" srcId="{24D2DF54-FE8A-477B-AC2F-C4EBEF8CA56C}" destId="{75A2BE01-40D1-4E9D-83E0-FCFE0F5A1D56}" srcOrd="1" destOrd="0" presId="urn:microsoft.com/office/officeart/2005/8/layout/vList6"/>
    <dgm:cxn modelId="{D1209647-7EB8-4B20-8550-1B938BB7CC9A}" type="presParOf" srcId="{D871E0F5-DFEA-4EF0-A0C8-392AE2EE1AB4}" destId="{0FD3B987-847A-4158-A1CD-82E74B61C62B}" srcOrd="1" destOrd="0" presId="urn:microsoft.com/office/officeart/2005/8/layout/vList6"/>
    <dgm:cxn modelId="{0AA2CBF6-A551-4C2B-A906-BE003D49AAD3}" type="presParOf" srcId="{D871E0F5-DFEA-4EF0-A0C8-392AE2EE1AB4}" destId="{31949BBC-DE16-4042-8C07-9ACDF0D427AD}" srcOrd="2" destOrd="0" presId="urn:microsoft.com/office/officeart/2005/8/layout/vList6"/>
    <dgm:cxn modelId="{2ABC8C51-936E-4F9E-988E-292363781A9E}" type="presParOf" srcId="{31949BBC-DE16-4042-8C07-9ACDF0D427AD}" destId="{D4449B0D-A7F5-482A-BF1F-38993CC549EF}" srcOrd="0" destOrd="0" presId="urn:microsoft.com/office/officeart/2005/8/layout/vList6"/>
    <dgm:cxn modelId="{860A7605-CA85-41E1-9438-64F9CB77DB8B}" type="presParOf" srcId="{31949BBC-DE16-4042-8C07-9ACDF0D427AD}" destId="{8E739CB7-5BA7-46E1-8BDD-371368219307}" srcOrd="1" destOrd="0" presId="urn:microsoft.com/office/officeart/2005/8/layout/vList6"/>
    <dgm:cxn modelId="{19BDFE3D-8B4D-412A-9029-24B513E399C9}" type="presParOf" srcId="{D871E0F5-DFEA-4EF0-A0C8-392AE2EE1AB4}" destId="{DF7E136E-937E-48D9-9B70-20F9ADD404F5}" srcOrd="3" destOrd="0" presId="urn:microsoft.com/office/officeart/2005/8/layout/vList6"/>
    <dgm:cxn modelId="{B755F80A-36DC-42B3-88F6-80D18B836C4E}" type="presParOf" srcId="{D871E0F5-DFEA-4EF0-A0C8-392AE2EE1AB4}" destId="{20A23BFB-57FE-4A49-9A94-8B02A127BD46}" srcOrd="4" destOrd="0" presId="urn:microsoft.com/office/officeart/2005/8/layout/vList6"/>
    <dgm:cxn modelId="{5418F889-3510-4D4F-919D-06D6E5235171}" type="presParOf" srcId="{20A23BFB-57FE-4A49-9A94-8B02A127BD46}" destId="{1D8BB08F-175C-46BC-ABED-4DC7CB813C28}" srcOrd="0" destOrd="0" presId="urn:microsoft.com/office/officeart/2005/8/layout/vList6"/>
    <dgm:cxn modelId="{54452AE3-C8B9-400F-9D82-D4C2FC406F9D}" type="presParOf" srcId="{20A23BFB-57FE-4A49-9A94-8B02A127BD46}" destId="{63E0DAE2-C76A-4B59-B371-8C7AFE8C98FA}" srcOrd="1" destOrd="0" presId="urn:microsoft.com/office/officeart/2005/8/layout/vList6"/>
    <dgm:cxn modelId="{92A57DBA-9798-4E88-B9AF-AF923FEEC5E4}" type="presParOf" srcId="{D871E0F5-DFEA-4EF0-A0C8-392AE2EE1AB4}" destId="{840B30C1-E48C-4D6A-B2AE-23319CA6156F}" srcOrd="5" destOrd="0" presId="urn:microsoft.com/office/officeart/2005/8/layout/vList6"/>
    <dgm:cxn modelId="{4A1D901B-AB65-4CB5-B892-FFE504681100}" type="presParOf" srcId="{D871E0F5-DFEA-4EF0-A0C8-392AE2EE1AB4}" destId="{1E09AB0D-5347-4475-9F4B-D7A1019A5C92}" srcOrd="6" destOrd="0" presId="urn:microsoft.com/office/officeart/2005/8/layout/vList6"/>
    <dgm:cxn modelId="{ECB2A891-45CD-464C-A1DB-BE3C4CF7E7A5}" type="presParOf" srcId="{1E09AB0D-5347-4475-9F4B-D7A1019A5C92}" destId="{1C1C704F-5019-4E88-860F-323B84B650D4}" srcOrd="0" destOrd="0" presId="urn:microsoft.com/office/officeart/2005/8/layout/vList6"/>
    <dgm:cxn modelId="{90888D52-808C-42DD-9199-72185891AB98}" type="presParOf" srcId="{1E09AB0D-5347-4475-9F4B-D7A1019A5C92}" destId="{4885F32D-4DC4-4C56-BC79-C41C18E03303}" srcOrd="1" destOrd="0" presId="urn:microsoft.com/office/officeart/2005/8/layout/vList6"/>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C9C4A9-FD1B-419A-A353-47F4CFDD68D6}">
      <dsp:nvSpPr>
        <dsp:cNvPr id="0" name=""/>
        <dsp:cNvSpPr/>
      </dsp:nvSpPr>
      <dsp:spPr>
        <a:xfrm>
          <a:off x="856020" y="1606313"/>
          <a:ext cx="994734" cy="854153"/>
        </a:xfrm>
        <a:prstGeom prst="hexagon">
          <a:avLst>
            <a:gd name="adj" fmla="val 25000"/>
            <a:gd name="vf" fmla="val 115470"/>
          </a:avLst>
        </a:prstGeom>
        <a:solidFill>
          <a:schemeClr val="accent6">
            <a:lumMod val="40000"/>
            <a:lumOff val="60000"/>
          </a:schemeClr>
        </a:solidFill>
        <a:ln w="9525" cap="flat" cmpd="sng" algn="ctr">
          <a:solidFill>
            <a:schemeClr val="dk1">
              <a:shade val="8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0" tIns="15240" rIns="0" bIns="15240" numCol="1" spcCol="1270" anchor="ctr" anchorCtr="0">
          <a:noAutofit/>
        </a:bodyPr>
        <a:lstStyle/>
        <a:p>
          <a:pPr marL="0" lvl="0" indent="0" algn="ctr" defTabSz="533400">
            <a:lnSpc>
              <a:spcPct val="90000"/>
            </a:lnSpc>
            <a:spcBef>
              <a:spcPct val="0"/>
            </a:spcBef>
            <a:spcAft>
              <a:spcPct val="35000"/>
            </a:spcAft>
            <a:buNone/>
          </a:pPr>
          <a:r>
            <a:rPr lang="zh-CN" altLang="en-US" sz="1200" kern="1200" dirty="0"/>
            <a:t>新能源</a:t>
          </a:r>
        </a:p>
      </dsp:txBody>
      <dsp:txXfrm>
        <a:off x="1010094" y="1738612"/>
        <a:ext cx="686586" cy="589555"/>
      </dsp:txXfrm>
    </dsp:sp>
    <dsp:sp modelId="{4A9D61E9-94C7-4CB4-8169-B314D166ADCC}">
      <dsp:nvSpPr>
        <dsp:cNvPr id="0" name=""/>
        <dsp:cNvSpPr/>
      </dsp:nvSpPr>
      <dsp:spPr>
        <a:xfrm>
          <a:off x="879754" y="1988154"/>
          <a:ext cx="116034" cy="100128"/>
        </a:xfrm>
        <a:prstGeom prst="hexagon">
          <a:avLst>
            <a:gd name="adj" fmla="val 25000"/>
            <a:gd name="vf" fmla="val 115470"/>
          </a:avLst>
        </a:prstGeom>
        <a:solidFill>
          <a:schemeClr val="lt1">
            <a:hueOff val="0"/>
            <a:satOff val="0"/>
            <a:lumOff val="0"/>
            <a:alphaOff val="0"/>
          </a:schemeClr>
        </a:solid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A0A277CD-C70C-4FD2-A10B-832E5489409D}">
      <dsp:nvSpPr>
        <dsp:cNvPr id="0" name=""/>
        <dsp:cNvSpPr/>
      </dsp:nvSpPr>
      <dsp:spPr>
        <a:xfrm>
          <a:off x="0" y="1134001"/>
          <a:ext cx="994734" cy="854153"/>
        </a:xfrm>
        <a:prstGeom prst="hexagon">
          <a:avLst>
            <a:gd name="adj" fmla="val 25000"/>
            <a:gd name="vf" fmla="val 11547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993EF12B-D919-40D5-898B-852DECA3802D}">
      <dsp:nvSpPr>
        <dsp:cNvPr id="0" name=""/>
        <dsp:cNvSpPr/>
      </dsp:nvSpPr>
      <dsp:spPr>
        <a:xfrm>
          <a:off x="681440" y="1874825"/>
          <a:ext cx="116034" cy="100128"/>
        </a:xfrm>
        <a:prstGeom prst="hexagon">
          <a:avLst>
            <a:gd name="adj" fmla="val 25000"/>
            <a:gd name="vf" fmla="val 115470"/>
          </a:avLst>
        </a:prstGeom>
        <a:solidFill>
          <a:schemeClr val="lt1">
            <a:hueOff val="0"/>
            <a:satOff val="0"/>
            <a:lumOff val="0"/>
            <a:alphaOff val="0"/>
          </a:schemeClr>
        </a:solid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1B883AAB-FC1D-465B-8206-FAA73BC0DEAE}">
      <dsp:nvSpPr>
        <dsp:cNvPr id="0" name=""/>
        <dsp:cNvSpPr/>
      </dsp:nvSpPr>
      <dsp:spPr>
        <a:xfrm>
          <a:off x="1712041" y="1131425"/>
          <a:ext cx="994734" cy="854153"/>
        </a:xfrm>
        <a:prstGeom prst="hexagon">
          <a:avLst>
            <a:gd name="adj" fmla="val 25000"/>
            <a:gd name="vf" fmla="val 115470"/>
          </a:avLst>
        </a:prstGeom>
        <a:solidFill>
          <a:schemeClr val="accent2">
            <a:lumMod val="40000"/>
            <a:lumOff val="60000"/>
          </a:schemeClr>
        </a:solidFill>
        <a:ln w="9525" cap="flat" cmpd="sng" algn="ctr">
          <a:solidFill>
            <a:schemeClr val="dk1">
              <a:shade val="8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0" tIns="15240" rIns="0" bIns="15240" numCol="1" spcCol="1270" anchor="ctr" anchorCtr="0">
          <a:noAutofit/>
        </a:bodyPr>
        <a:lstStyle/>
        <a:p>
          <a:pPr marL="0" lvl="0" indent="0" algn="ctr" defTabSz="533400">
            <a:lnSpc>
              <a:spcPct val="90000"/>
            </a:lnSpc>
            <a:spcBef>
              <a:spcPct val="0"/>
            </a:spcBef>
            <a:spcAft>
              <a:spcPct val="35000"/>
            </a:spcAft>
            <a:buNone/>
          </a:pPr>
          <a:r>
            <a:rPr lang="zh-CN" altLang="en-US" sz="1200" kern="1200" dirty="0"/>
            <a:t>新材料</a:t>
          </a:r>
        </a:p>
      </dsp:txBody>
      <dsp:txXfrm>
        <a:off x="1866115" y="1263724"/>
        <a:ext cx="686586" cy="589555"/>
      </dsp:txXfrm>
    </dsp:sp>
    <dsp:sp modelId="{AEE48318-CF2A-4287-BA94-1AF87666C9F3}">
      <dsp:nvSpPr>
        <dsp:cNvPr id="0" name=""/>
        <dsp:cNvSpPr/>
      </dsp:nvSpPr>
      <dsp:spPr>
        <a:xfrm>
          <a:off x="2396646" y="1870318"/>
          <a:ext cx="116034" cy="100128"/>
        </a:xfrm>
        <a:prstGeom prst="hexagon">
          <a:avLst>
            <a:gd name="adj" fmla="val 25000"/>
            <a:gd name="vf" fmla="val 115470"/>
          </a:avLst>
        </a:prstGeom>
        <a:solidFill>
          <a:schemeClr val="lt1">
            <a:hueOff val="0"/>
            <a:satOff val="0"/>
            <a:lumOff val="0"/>
            <a:alphaOff val="0"/>
          </a:schemeClr>
        </a:solid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A8AB5D51-FE38-419B-B143-618013F221B9}">
      <dsp:nvSpPr>
        <dsp:cNvPr id="0" name=""/>
        <dsp:cNvSpPr/>
      </dsp:nvSpPr>
      <dsp:spPr>
        <a:xfrm>
          <a:off x="2567534" y="1604381"/>
          <a:ext cx="994734" cy="854153"/>
        </a:xfrm>
        <a:prstGeom prst="hexagon">
          <a:avLst>
            <a:gd name="adj" fmla="val 25000"/>
            <a:gd name="vf" fmla="val 115470"/>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F059B7A8-3612-4696-A1E0-88DB6AA6006C}">
      <dsp:nvSpPr>
        <dsp:cNvPr id="0" name=""/>
        <dsp:cNvSpPr/>
      </dsp:nvSpPr>
      <dsp:spPr>
        <a:xfrm>
          <a:off x="2591795" y="1984613"/>
          <a:ext cx="116034" cy="100128"/>
        </a:xfrm>
        <a:prstGeom prst="hexagon">
          <a:avLst>
            <a:gd name="adj" fmla="val 25000"/>
            <a:gd name="vf" fmla="val 115470"/>
          </a:avLst>
        </a:prstGeom>
        <a:solidFill>
          <a:schemeClr val="lt1">
            <a:hueOff val="0"/>
            <a:satOff val="0"/>
            <a:lumOff val="0"/>
            <a:alphaOff val="0"/>
          </a:schemeClr>
        </a:solid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2F3C17EF-0EF6-45A1-AF0D-0023B71C87D1}">
      <dsp:nvSpPr>
        <dsp:cNvPr id="0" name=""/>
        <dsp:cNvSpPr/>
      </dsp:nvSpPr>
      <dsp:spPr>
        <a:xfrm>
          <a:off x="856020" y="662011"/>
          <a:ext cx="994734" cy="854153"/>
        </a:xfrm>
        <a:prstGeom prst="hexagon">
          <a:avLst>
            <a:gd name="adj" fmla="val 25000"/>
            <a:gd name="vf" fmla="val 115470"/>
          </a:avLst>
        </a:prstGeom>
        <a:solidFill>
          <a:schemeClr val="accent4">
            <a:lumMod val="40000"/>
            <a:lumOff val="60000"/>
          </a:schemeClr>
        </a:solidFill>
        <a:ln w="9525" cap="flat" cmpd="sng" algn="ctr">
          <a:solidFill>
            <a:schemeClr val="dk1">
              <a:shade val="8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0" tIns="15240" rIns="0" bIns="15240" numCol="1" spcCol="1270" anchor="ctr" anchorCtr="0">
          <a:noAutofit/>
        </a:bodyPr>
        <a:lstStyle/>
        <a:p>
          <a:pPr marL="0" lvl="0" indent="0" algn="ctr" defTabSz="533400">
            <a:lnSpc>
              <a:spcPct val="90000"/>
            </a:lnSpc>
            <a:spcBef>
              <a:spcPct val="0"/>
            </a:spcBef>
            <a:spcAft>
              <a:spcPct val="35000"/>
            </a:spcAft>
            <a:buNone/>
          </a:pPr>
          <a:r>
            <a:rPr lang="zh-CN" altLang="en-US" sz="1200" kern="1200" dirty="0"/>
            <a:t>新能源汽车</a:t>
          </a:r>
          <a:endParaRPr lang="zh-CN" altLang="en-US" sz="1200" kern="1200"/>
        </a:p>
      </dsp:txBody>
      <dsp:txXfrm>
        <a:off x="1010094" y="794310"/>
        <a:ext cx="686586" cy="589555"/>
      </dsp:txXfrm>
    </dsp:sp>
    <dsp:sp modelId="{5C12F652-9E0B-46AA-9F36-7A19548DD82B}">
      <dsp:nvSpPr>
        <dsp:cNvPr id="0" name=""/>
        <dsp:cNvSpPr/>
      </dsp:nvSpPr>
      <dsp:spPr>
        <a:xfrm>
          <a:off x="1533241" y="673601"/>
          <a:ext cx="116034" cy="100128"/>
        </a:xfrm>
        <a:prstGeom prst="hexagon">
          <a:avLst>
            <a:gd name="adj" fmla="val 25000"/>
            <a:gd name="vf" fmla="val 115470"/>
          </a:avLst>
        </a:prstGeom>
        <a:solidFill>
          <a:schemeClr val="lt1">
            <a:hueOff val="0"/>
            <a:satOff val="0"/>
            <a:lumOff val="0"/>
            <a:alphaOff val="0"/>
          </a:schemeClr>
        </a:solid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05419E0E-B7E6-4FBC-9706-1EF5C57186EB}">
      <dsp:nvSpPr>
        <dsp:cNvPr id="0" name=""/>
        <dsp:cNvSpPr/>
      </dsp:nvSpPr>
      <dsp:spPr>
        <a:xfrm>
          <a:off x="1712041" y="187123"/>
          <a:ext cx="994734" cy="854153"/>
        </a:xfrm>
        <a:prstGeom prst="hexagon">
          <a:avLst>
            <a:gd name="adj" fmla="val 25000"/>
            <a:gd name="vf" fmla="val 115470"/>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23E9F7AC-EA56-4AD4-9F3A-4043B4D7BCD0}">
      <dsp:nvSpPr>
        <dsp:cNvPr id="0" name=""/>
        <dsp:cNvSpPr/>
      </dsp:nvSpPr>
      <dsp:spPr>
        <a:xfrm>
          <a:off x="1739994" y="565424"/>
          <a:ext cx="116034" cy="100128"/>
        </a:xfrm>
        <a:prstGeom prst="hexagon">
          <a:avLst>
            <a:gd name="adj" fmla="val 25000"/>
            <a:gd name="vf" fmla="val 115470"/>
          </a:avLst>
        </a:prstGeom>
        <a:solidFill>
          <a:schemeClr val="lt1">
            <a:hueOff val="0"/>
            <a:satOff val="0"/>
            <a:lumOff val="0"/>
            <a:alphaOff val="0"/>
          </a:schemeClr>
        </a:solid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C20145AF-3DF7-4920-8A12-C87C2CDBED99}">
      <dsp:nvSpPr>
        <dsp:cNvPr id="0" name=""/>
        <dsp:cNvSpPr/>
      </dsp:nvSpPr>
      <dsp:spPr>
        <a:xfrm>
          <a:off x="2567534" y="660079"/>
          <a:ext cx="994734" cy="854153"/>
        </a:xfrm>
        <a:prstGeom prst="hexagon">
          <a:avLst>
            <a:gd name="adj" fmla="val 25000"/>
            <a:gd name="vf" fmla="val 11547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w="9525" cap="flat" cmpd="sng" algn="ctr">
          <a:solidFill>
            <a:schemeClr val="dk1">
              <a:shade val="8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0" tIns="15240" rIns="0" bIns="15240" numCol="1" spcCol="1270" anchor="ctr" anchorCtr="0">
          <a:noAutofit/>
        </a:bodyPr>
        <a:lstStyle/>
        <a:p>
          <a:pPr marL="0" lvl="0" indent="0" algn="ctr" defTabSz="533400">
            <a:lnSpc>
              <a:spcPct val="90000"/>
            </a:lnSpc>
            <a:spcBef>
              <a:spcPct val="0"/>
            </a:spcBef>
            <a:spcAft>
              <a:spcPct val="35000"/>
            </a:spcAft>
            <a:buNone/>
          </a:pPr>
          <a:r>
            <a:rPr lang="zh-CN" altLang="en-US" sz="1200" kern="1200"/>
            <a:t>节能</a:t>
          </a:r>
          <a:r>
            <a:rPr lang="zh-CN" altLang="en-US" sz="1200" kern="1200" dirty="0"/>
            <a:t>环保</a:t>
          </a:r>
        </a:p>
      </dsp:txBody>
      <dsp:txXfrm>
        <a:off x="2721608" y="792378"/>
        <a:ext cx="686586" cy="589555"/>
      </dsp:txXfrm>
    </dsp:sp>
    <dsp:sp modelId="{3DE2DAF2-1196-43D3-BA1C-79E823B64F71}">
      <dsp:nvSpPr>
        <dsp:cNvPr id="0" name=""/>
        <dsp:cNvSpPr/>
      </dsp:nvSpPr>
      <dsp:spPr>
        <a:xfrm>
          <a:off x="3428301" y="1038701"/>
          <a:ext cx="116034" cy="100128"/>
        </a:xfrm>
        <a:prstGeom prst="hexagon">
          <a:avLst>
            <a:gd name="adj" fmla="val 25000"/>
            <a:gd name="vf" fmla="val 115470"/>
          </a:avLst>
        </a:prstGeom>
        <a:solidFill>
          <a:schemeClr val="lt1">
            <a:hueOff val="0"/>
            <a:satOff val="0"/>
            <a:lumOff val="0"/>
            <a:alphaOff val="0"/>
          </a:schemeClr>
        </a:solid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EF3781FC-0797-4EBB-BF97-78B13CEDDFAE}">
      <dsp:nvSpPr>
        <dsp:cNvPr id="0" name=""/>
        <dsp:cNvSpPr/>
      </dsp:nvSpPr>
      <dsp:spPr>
        <a:xfrm>
          <a:off x="3423554" y="1140440"/>
          <a:ext cx="994734" cy="854153"/>
        </a:xfrm>
        <a:prstGeom prst="hexagon">
          <a:avLst>
            <a:gd name="adj" fmla="val 25000"/>
            <a:gd name="vf" fmla="val 115470"/>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a:stretch>
        </a:blip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AEC3D0E5-7812-4D5A-8687-062DDE331EEE}">
      <dsp:nvSpPr>
        <dsp:cNvPr id="0" name=""/>
        <dsp:cNvSpPr/>
      </dsp:nvSpPr>
      <dsp:spPr>
        <a:xfrm>
          <a:off x="3617649" y="1155572"/>
          <a:ext cx="116034" cy="100128"/>
        </a:xfrm>
        <a:prstGeom prst="hexagon">
          <a:avLst>
            <a:gd name="adj" fmla="val 25000"/>
            <a:gd name="vf" fmla="val 115470"/>
          </a:avLst>
        </a:prstGeom>
        <a:solidFill>
          <a:schemeClr val="lt1">
            <a:hueOff val="0"/>
            <a:satOff val="0"/>
            <a:lumOff val="0"/>
            <a:alphaOff val="0"/>
          </a:schemeClr>
        </a:solid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8790B057-A559-4AC3-AB8C-D6CE3900F101}">
      <dsp:nvSpPr>
        <dsp:cNvPr id="0" name=""/>
        <dsp:cNvSpPr/>
      </dsp:nvSpPr>
      <dsp:spPr>
        <a:xfrm>
          <a:off x="3423554" y="196138"/>
          <a:ext cx="994734" cy="854153"/>
        </a:xfrm>
        <a:prstGeom prst="hexagon">
          <a:avLst>
            <a:gd name="adj" fmla="val 25000"/>
            <a:gd name="vf" fmla="val 11547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w="9525" cap="flat" cmpd="sng" algn="ctr">
          <a:solidFill>
            <a:schemeClr val="dk1">
              <a:shade val="8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0" tIns="15240" rIns="0" bIns="15240" numCol="1" spcCol="1270" anchor="ctr" anchorCtr="0">
          <a:noAutofit/>
        </a:bodyPr>
        <a:lstStyle/>
        <a:p>
          <a:pPr marL="0" lvl="0" indent="0" algn="ctr" defTabSz="533400">
            <a:lnSpc>
              <a:spcPct val="90000"/>
            </a:lnSpc>
            <a:spcBef>
              <a:spcPct val="0"/>
            </a:spcBef>
            <a:spcAft>
              <a:spcPct val="35000"/>
            </a:spcAft>
            <a:buNone/>
          </a:pPr>
          <a:r>
            <a:rPr lang="zh-CN" altLang="en-US" sz="1200" kern="1200" dirty="0"/>
            <a:t>新一代信息技术</a:t>
          </a:r>
        </a:p>
      </dsp:txBody>
      <dsp:txXfrm>
        <a:off x="3577628" y="328437"/>
        <a:ext cx="686586" cy="589555"/>
      </dsp:txXfrm>
    </dsp:sp>
    <dsp:sp modelId="{70CBDCD5-BA41-41BC-9C14-35A1122FCB37}">
      <dsp:nvSpPr>
        <dsp:cNvPr id="0" name=""/>
        <dsp:cNvSpPr/>
      </dsp:nvSpPr>
      <dsp:spPr>
        <a:xfrm>
          <a:off x="4284322" y="578946"/>
          <a:ext cx="116034" cy="100128"/>
        </a:xfrm>
        <a:prstGeom prst="hexagon">
          <a:avLst>
            <a:gd name="adj" fmla="val 25000"/>
            <a:gd name="vf" fmla="val 115470"/>
          </a:avLst>
        </a:prstGeom>
        <a:solidFill>
          <a:schemeClr val="lt1">
            <a:hueOff val="0"/>
            <a:satOff val="0"/>
            <a:lumOff val="0"/>
            <a:alphaOff val="0"/>
          </a:schemeClr>
        </a:solid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8EA6D940-30EA-41B2-A309-03B59F7F591A}">
      <dsp:nvSpPr>
        <dsp:cNvPr id="0" name=""/>
        <dsp:cNvSpPr/>
      </dsp:nvSpPr>
      <dsp:spPr>
        <a:xfrm>
          <a:off x="4279575" y="672635"/>
          <a:ext cx="994734" cy="854153"/>
        </a:xfrm>
        <a:prstGeom prst="hexagon">
          <a:avLst>
            <a:gd name="adj" fmla="val 25000"/>
            <a:gd name="vf" fmla="val 115470"/>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a:stretch>
        </a:blip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4FB58F03-A0B9-45EA-B99D-2E250E8E2192}">
      <dsp:nvSpPr>
        <dsp:cNvPr id="0" name=""/>
        <dsp:cNvSpPr/>
      </dsp:nvSpPr>
      <dsp:spPr>
        <a:xfrm>
          <a:off x="4477889" y="691631"/>
          <a:ext cx="116034" cy="100128"/>
        </a:xfrm>
        <a:prstGeom prst="hexagon">
          <a:avLst>
            <a:gd name="adj" fmla="val 25000"/>
            <a:gd name="vf" fmla="val 115470"/>
          </a:avLst>
        </a:prstGeom>
        <a:solidFill>
          <a:schemeClr val="lt1">
            <a:hueOff val="0"/>
            <a:satOff val="0"/>
            <a:lumOff val="0"/>
            <a:alphaOff val="0"/>
          </a:schemeClr>
        </a:solid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8B14BEAF-BA30-4E7B-8D15-D3D036EF9AB0}">
      <dsp:nvSpPr>
        <dsp:cNvPr id="0" name=""/>
        <dsp:cNvSpPr/>
      </dsp:nvSpPr>
      <dsp:spPr>
        <a:xfrm>
          <a:off x="4279575" y="1615327"/>
          <a:ext cx="994734" cy="854153"/>
        </a:xfrm>
        <a:prstGeom prst="hexagon">
          <a:avLst>
            <a:gd name="adj" fmla="val 25000"/>
            <a:gd name="vf" fmla="val 11547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w="9525" cap="flat" cmpd="sng" algn="ctr">
          <a:solidFill>
            <a:schemeClr val="dk1">
              <a:shade val="8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0" tIns="15240" rIns="0" bIns="15240" numCol="1" spcCol="1270" anchor="ctr" anchorCtr="0">
          <a:noAutofit/>
        </a:bodyPr>
        <a:lstStyle/>
        <a:p>
          <a:pPr marL="0" lvl="0" indent="0" algn="ctr" defTabSz="533400">
            <a:lnSpc>
              <a:spcPct val="90000"/>
            </a:lnSpc>
            <a:spcBef>
              <a:spcPct val="0"/>
            </a:spcBef>
            <a:spcAft>
              <a:spcPct val="35000"/>
            </a:spcAft>
            <a:buNone/>
          </a:pPr>
          <a:r>
            <a:rPr lang="zh-CN" altLang="en-US" sz="1200" kern="1200" dirty="0"/>
            <a:t>生物医药</a:t>
          </a:r>
        </a:p>
      </dsp:txBody>
      <dsp:txXfrm>
        <a:off x="4433649" y="1747626"/>
        <a:ext cx="686586" cy="589555"/>
      </dsp:txXfrm>
    </dsp:sp>
    <dsp:sp modelId="{C46B4D9E-0480-4980-9139-33FFAA11D9A3}">
      <dsp:nvSpPr>
        <dsp:cNvPr id="0" name=""/>
        <dsp:cNvSpPr/>
      </dsp:nvSpPr>
      <dsp:spPr>
        <a:xfrm>
          <a:off x="4476834" y="2363557"/>
          <a:ext cx="116034" cy="100128"/>
        </a:xfrm>
        <a:prstGeom prst="hexagon">
          <a:avLst>
            <a:gd name="adj" fmla="val 25000"/>
            <a:gd name="vf" fmla="val 115470"/>
          </a:avLst>
        </a:prstGeom>
        <a:solidFill>
          <a:schemeClr val="lt1">
            <a:hueOff val="0"/>
            <a:satOff val="0"/>
            <a:lumOff val="0"/>
            <a:alphaOff val="0"/>
          </a:schemeClr>
        </a:solid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54BF9BA6-2D63-4FA5-9516-E227942EAED8}">
      <dsp:nvSpPr>
        <dsp:cNvPr id="0" name=""/>
        <dsp:cNvSpPr/>
      </dsp:nvSpPr>
      <dsp:spPr>
        <a:xfrm>
          <a:off x="3423554" y="2083132"/>
          <a:ext cx="994734" cy="854153"/>
        </a:xfrm>
        <a:prstGeom prst="hexagon">
          <a:avLst>
            <a:gd name="adj" fmla="val 25000"/>
            <a:gd name="vf" fmla="val 115470"/>
          </a:avLst>
        </a:prstGeom>
        <a:blipFill>
          <a:blip xmlns:r="http://schemas.openxmlformats.org/officeDocument/2006/relationships" r:embed="rId6" cstate="print">
            <a:extLst>
              <a:ext uri="{28A0092B-C50C-407E-A947-70E740481C1C}">
                <a14:useLocalDpi xmlns:a14="http://schemas.microsoft.com/office/drawing/2010/main" val="0"/>
              </a:ext>
            </a:extLst>
          </a:blip>
          <a:srcRect/>
          <a:stretch>
            <a:fillRect/>
          </a:stretch>
        </a:blip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BEDB8BE9-4FEF-4BD4-A58B-EF6318AC29C0}">
      <dsp:nvSpPr>
        <dsp:cNvPr id="0" name=""/>
        <dsp:cNvSpPr/>
      </dsp:nvSpPr>
      <dsp:spPr>
        <a:xfrm>
          <a:off x="4292233" y="2457891"/>
          <a:ext cx="116034" cy="100128"/>
        </a:xfrm>
        <a:prstGeom prst="hexagon">
          <a:avLst>
            <a:gd name="adj" fmla="val 25000"/>
            <a:gd name="vf" fmla="val 115470"/>
          </a:avLst>
        </a:prstGeom>
        <a:solidFill>
          <a:schemeClr val="lt1">
            <a:hueOff val="0"/>
            <a:satOff val="0"/>
            <a:lumOff val="0"/>
            <a:alphaOff val="0"/>
          </a:schemeClr>
        </a:solid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6CC36613-5BF1-47F7-837A-C043A4FDC968}">
      <dsp:nvSpPr>
        <dsp:cNvPr id="0" name=""/>
        <dsp:cNvSpPr/>
      </dsp:nvSpPr>
      <dsp:spPr>
        <a:xfrm>
          <a:off x="1710986" y="2077659"/>
          <a:ext cx="994734" cy="854153"/>
        </a:xfrm>
        <a:prstGeom prst="hexagon">
          <a:avLst>
            <a:gd name="adj" fmla="val 25000"/>
            <a:gd name="vf" fmla="val 11547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w="9525" cap="flat" cmpd="sng" algn="ctr">
          <a:solidFill>
            <a:schemeClr val="dk1">
              <a:shade val="8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0" tIns="15240" rIns="0" bIns="15240" numCol="1" spcCol="1270" anchor="ctr" anchorCtr="0">
          <a:noAutofit/>
        </a:bodyPr>
        <a:lstStyle/>
        <a:p>
          <a:pPr marL="0" lvl="0" indent="0" algn="ctr" defTabSz="533400">
            <a:lnSpc>
              <a:spcPct val="90000"/>
            </a:lnSpc>
            <a:spcBef>
              <a:spcPct val="0"/>
            </a:spcBef>
            <a:spcAft>
              <a:spcPct val="35000"/>
            </a:spcAft>
            <a:buNone/>
          </a:pPr>
          <a:r>
            <a:rPr lang="zh-CN" altLang="en-US" sz="1200" kern="1200" dirty="0"/>
            <a:t>高端装备制造</a:t>
          </a:r>
        </a:p>
      </dsp:txBody>
      <dsp:txXfrm>
        <a:off x="1865060" y="2209958"/>
        <a:ext cx="686586" cy="589555"/>
      </dsp:txXfrm>
    </dsp:sp>
    <dsp:sp modelId="{7F950C00-EE1E-4EF1-9D13-F48527A9F64E}">
      <dsp:nvSpPr>
        <dsp:cNvPr id="0" name=""/>
        <dsp:cNvSpPr/>
      </dsp:nvSpPr>
      <dsp:spPr>
        <a:xfrm>
          <a:off x="1739467" y="2456281"/>
          <a:ext cx="116034" cy="100128"/>
        </a:xfrm>
        <a:prstGeom prst="hexagon">
          <a:avLst>
            <a:gd name="adj" fmla="val 25000"/>
            <a:gd name="vf" fmla="val 115470"/>
          </a:avLst>
        </a:prstGeom>
        <a:solidFill>
          <a:schemeClr val="lt1">
            <a:hueOff val="0"/>
            <a:satOff val="0"/>
            <a:lumOff val="0"/>
            <a:alphaOff val="0"/>
          </a:schemeClr>
        </a:solid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35EC35E3-72FA-4258-90CD-2820113D2149}">
      <dsp:nvSpPr>
        <dsp:cNvPr id="0" name=""/>
        <dsp:cNvSpPr/>
      </dsp:nvSpPr>
      <dsp:spPr>
        <a:xfrm>
          <a:off x="855493" y="2552546"/>
          <a:ext cx="994734" cy="854153"/>
        </a:xfrm>
        <a:prstGeom prst="hexagon">
          <a:avLst>
            <a:gd name="adj" fmla="val 25000"/>
            <a:gd name="vf" fmla="val 115470"/>
          </a:avLst>
        </a:prstGeom>
        <a:blipFill>
          <a:blip xmlns:r="http://schemas.openxmlformats.org/officeDocument/2006/relationships" r:embed="rId7" cstate="print">
            <a:extLst>
              <a:ext uri="{28A0092B-C50C-407E-A947-70E740481C1C}">
                <a14:useLocalDpi xmlns:a14="http://schemas.microsoft.com/office/drawing/2010/main" val="0"/>
              </a:ext>
            </a:extLst>
          </a:blip>
          <a:srcRect/>
          <a:stretch>
            <a:fillRect/>
          </a:stretch>
        </a:blip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95F1F12E-4528-4668-92D6-B5E07EF74822}">
      <dsp:nvSpPr>
        <dsp:cNvPr id="0" name=""/>
        <dsp:cNvSpPr/>
      </dsp:nvSpPr>
      <dsp:spPr>
        <a:xfrm>
          <a:off x="1532187" y="2564459"/>
          <a:ext cx="116034" cy="100128"/>
        </a:xfrm>
        <a:prstGeom prst="hexagon">
          <a:avLst>
            <a:gd name="adj" fmla="val 25000"/>
            <a:gd name="vf" fmla="val 115470"/>
          </a:avLst>
        </a:prstGeom>
        <a:solidFill>
          <a:schemeClr val="lt1">
            <a:hueOff val="0"/>
            <a:satOff val="0"/>
            <a:lumOff val="0"/>
            <a:alphaOff val="0"/>
          </a:schemeClr>
        </a:solidFill>
        <a:ln w="9525" cap="flat" cmpd="sng" algn="ctr">
          <a:solidFill>
            <a:schemeClr val="dk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07998A7-3170-41C7-86B9-90056B0968F0}">
      <dsp:nvSpPr>
        <dsp:cNvPr id="0" name=""/>
        <dsp:cNvSpPr/>
      </dsp:nvSpPr>
      <dsp:spPr>
        <a:xfrm>
          <a:off x="5367" y="0"/>
          <a:ext cx="1030928" cy="1118870"/>
        </a:xfrm>
        <a:prstGeom prst="roundRect">
          <a:avLst>
            <a:gd name="adj" fmla="val 1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endParaRPr lang="en-US" altLang="zh-CN" sz="1000" b="0" kern="1200" dirty="0">
            <a:solidFill>
              <a:schemeClr val="tx1"/>
            </a:solidFill>
            <a:latin typeface="+mn-ea"/>
            <a:ea typeface="+mn-ea"/>
          </a:endParaRPr>
        </a:p>
        <a:p>
          <a:pPr marL="0" lvl="0" indent="0" algn="ctr" defTabSz="444500">
            <a:lnSpc>
              <a:spcPct val="90000"/>
            </a:lnSpc>
            <a:spcBef>
              <a:spcPct val="0"/>
            </a:spcBef>
            <a:spcAft>
              <a:spcPct val="35000"/>
            </a:spcAft>
            <a:buNone/>
          </a:pPr>
          <a:r>
            <a:rPr lang="zh-CN" altLang="en-US" sz="1000" b="0" kern="1200" dirty="0">
              <a:solidFill>
                <a:schemeClr val="tx1"/>
              </a:solidFill>
              <a:latin typeface="+mn-ea"/>
              <a:ea typeface="+mn-ea"/>
            </a:rPr>
            <a:t>重点发展装备制造、化工、食品产业</a:t>
          </a:r>
          <a:endParaRPr lang="en-US" altLang="zh-CN" sz="1000" b="0" kern="1200" dirty="0">
            <a:solidFill>
              <a:schemeClr val="tx1"/>
            </a:solidFill>
            <a:latin typeface="+mn-ea"/>
            <a:ea typeface="+mn-ea"/>
          </a:endParaRPr>
        </a:p>
        <a:p>
          <a:pPr marL="0" lvl="0" indent="0" algn="ctr" defTabSz="444500">
            <a:lnSpc>
              <a:spcPct val="90000"/>
            </a:lnSpc>
            <a:spcBef>
              <a:spcPct val="0"/>
            </a:spcBef>
            <a:spcAft>
              <a:spcPct val="35000"/>
            </a:spcAft>
            <a:buNone/>
          </a:pPr>
          <a:endParaRPr lang="zh-CN" altLang="en-US" sz="1000" b="0" kern="1200" dirty="0">
            <a:solidFill>
              <a:schemeClr val="tx1"/>
            </a:solidFill>
            <a:latin typeface="+mn-ea"/>
            <a:ea typeface="+mn-ea"/>
          </a:endParaRPr>
        </a:p>
      </dsp:txBody>
      <dsp:txXfrm>
        <a:off x="35562" y="30195"/>
        <a:ext cx="970538" cy="1058480"/>
      </dsp:txXfrm>
    </dsp:sp>
    <dsp:sp modelId="{5DB4EA1D-F100-4C82-99FF-E627D31DE468}">
      <dsp:nvSpPr>
        <dsp:cNvPr id="0" name=""/>
        <dsp:cNvSpPr/>
      </dsp:nvSpPr>
      <dsp:spPr>
        <a:xfrm>
          <a:off x="1139388" y="431599"/>
          <a:ext cx="218556" cy="255670"/>
        </a:xfrm>
        <a:prstGeom prst="rightArrow">
          <a:avLst>
            <a:gd name="adj1" fmla="val 60000"/>
            <a:gd name="adj2" fmla="val 5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zh-CN" altLang="en-US" sz="1000" b="0" kern="1200">
            <a:solidFill>
              <a:schemeClr val="tx1"/>
            </a:solidFill>
            <a:latin typeface="+mn-ea"/>
            <a:ea typeface="+mn-ea"/>
          </a:endParaRPr>
        </a:p>
      </dsp:txBody>
      <dsp:txXfrm>
        <a:off x="1139388" y="482733"/>
        <a:ext cx="152989" cy="153402"/>
      </dsp:txXfrm>
    </dsp:sp>
    <dsp:sp modelId="{FCF06A87-4F15-4E71-A7EC-CCC5CBEAE770}">
      <dsp:nvSpPr>
        <dsp:cNvPr id="0" name=""/>
        <dsp:cNvSpPr/>
      </dsp:nvSpPr>
      <dsp:spPr>
        <a:xfrm>
          <a:off x="1448667" y="0"/>
          <a:ext cx="1030928" cy="1118870"/>
        </a:xfrm>
        <a:prstGeom prst="roundRect">
          <a:avLst>
            <a:gd name="adj" fmla="val 10000"/>
          </a:avLst>
        </a:prstGeom>
        <a:gradFill rotWithShape="0">
          <a:gsLst>
            <a:gs pos="0">
              <a:schemeClr val="accent3">
                <a:hueOff val="5625132"/>
                <a:satOff val="-8440"/>
                <a:lumOff val="-1373"/>
                <a:alphaOff val="0"/>
                <a:shade val="51000"/>
                <a:satMod val="130000"/>
              </a:schemeClr>
            </a:gs>
            <a:gs pos="80000">
              <a:schemeClr val="accent3">
                <a:hueOff val="5625132"/>
                <a:satOff val="-8440"/>
                <a:lumOff val="-1373"/>
                <a:alphaOff val="0"/>
                <a:shade val="93000"/>
                <a:satMod val="130000"/>
              </a:schemeClr>
            </a:gs>
            <a:gs pos="100000">
              <a:schemeClr val="accent3">
                <a:hueOff val="5625132"/>
                <a:satOff val="-8440"/>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endParaRPr lang="en-US" altLang="zh-CN" sz="1000" b="0" kern="1200" dirty="0">
            <a:solidFill>
              <a:schemeClr val="tx1"/>
            </a:solidFill>
            <a:latin typeface="+mn-ea"/>
            <a:ea typeface="+mn-ea"/>
          </a:endParaRPr>
        </a:p>
        <a:p>
          <a:pPr marL="0" lvl="0" indent="0" algn="ctr" defTabSz="444500">
            <a:lnSpc>
              <a:spcPct val="90000"/>
            </a:lnSpc>
            <a:spcBef>
              <a:spcPct val="0"/>
            </a:spcBef>
            <a:spcAft>
              <a:spcPct val="35000"/>
            </a:spcAft>
            <a:buNone/>
          </a:pPr>
          <a:r>
            <a:rPr lang="zh-CN" altLang="en-US" sz="1000" b="0" kern="1200" dirty="0">
              <a:solidFill>
                <a:schemeClr val="tx1"/>
              </a:solidFill>
              <a:latin typeface="+mn-ea"/>
              <a:ea typeface="+mn-ea"/>
            </a:rPr>
            <a:t>稳步发展有色、冶金、能源工业</a:t>
          </a:r>
          <a:endParaRPr lang="en-US" altLang="zh-CN" sz="1000" b="0" kern="1200" dirty="0">
            <a:solidFill>
              <a:schemeClr val="tx1"/>
            </a:solidFill>
            <a:latin typeface="+mn-ea"/>
            <a:ea typeface="+mn-ea"/>
          </a:endParaRPr>
        </a:p>
        <a:p>
          <a:pPr marL="0" lvl="0" indent="0" algn="ctr" defTabSz="444500">
            <a:lnSpc>
              <a:spcPct val="90000"/>
            </a:lnSpc>
            <a:spcBef>
              <a:spcPct val="0"/>
            </a:spcBef>
            <a:spcAft>
              <a:spcPct val="35000"/>
            </a:spcAft>
            <a:buNone/>
          </a:pPr>
          <a:endParaRPr lang="zh-CN" altLang="en-US" sz="1000" b="0" kern="1200" dirty="0">
            <a:solidFill>
              <a:schemeClr val="tx1"/>
            </a:solidFill>
            <a:latin typeface="+mn-ea"/>
            <a:ea typeface="+mn-ea"/>
          </a:endParaRPr>
        </a:p>
      </dsp:txBody>
      <dsp:txXfrm>
        <a:off x="1478862" y="30195"/>
        <a:ext cx="970538" cy="1058480"/>
      </dsp:txXfrm>
    </dsp:sp>
    <dsp:sp modelId="{88D86FE9-786C-4705-80F4-3A8D17D1FA57}">
      <dsp:nvSpPr>
        <dsp:cNvPr id="0" name=""/>
        <dsp:cNvSpPr/>
      </dsp:nvSpPr>
      <dsp:spPr>
        <a:xfrm>
          <a:off x="2582688" y="431599"/>
          <a:ext cx="218556" cy="255670"/>
        </a:xfrm>
        <a:prstGeom prst="rightArrow">
          <a:avLst>
            <a:gd name="adj1" fmla="val 60000"/>
            <a:gd name="adj2" fmla="val 50000"/>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zh-CN" altLang="en-US" sz="1000" b="0" kern="1200">
            <a:solidFill>
              <a:schemeClr val="tx1"/>
            </a:solidFill>
            <a:latin typeface="+mn-ea"/>
            <a:ea typeface="+mn-ea"/>
          </a:endParaRPr>
        </a:p>
      </dsp:txBody>
      <dsp:txXfrm>
        <a:off x="2582688" y="482733"/>
        <a:ext cx="152989" cy="153402"/>
      </dsp:txXfrm>
    </dsp:sp>
    <dsp:sp modelId="{A4D6C228-AD23-476C-B54D-825F6262147E}">
      <dsp:nvSpPr>
        <dsp:cNvPr id="0" name=""/>
        <dsp:cNvSpPr/>
      </dsp:nvSpPr>
      <dsp:spPr>
        <a:xfrm>
          <a:off x="2891967" y="0"/>
          <a:ext cx="1030928" cy="1118870"/>
        </a:xfrm>
        <a:prstGeom prst="roundRect">
          <a:avLst>
            <a:gd name="adj" fmla="val 10000"/>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endParaRPr lang="en-US" altLang="zh-CN" sz="1000" b="0" kern="1200" dirty="0">
            <a:solidFill>
              <a:schemeClr val="tx1"/>
            </a:solidFill>
            <a:latin typeface="+mn-ea"/>
            <a:ea typeface="+mn-ea"/>
          </a:endParaRPr>
        </a:p>
        <a:p>
          <a:pPr marL="0" lvl="0" indent="0" algn="ctr" defTabSz="444500">
            <a:lnSpc>
              <a:spcPct val="90000"/>
            </a:lnSpc>
            <a:spcBef>
              <a:spcPct val="0"/>
            </a:spcBef>
            <a:spcAft>
              <a:spcPct val="35000"/>
            </a:spcAft>
            <a:buNone/>
          </a:pPr>
          <a:r>
            <a:rPr lang="zh-CN" altLang="en-US" sz="1000" b="0" kern="1200" dirty="0">
              <a:solidFill>
                <a:schemeClr val="tx1"/>
              </a:solidFill>
              <a:latin typeface="+mn-ea"/>
              <a:ea typeface="+mn-ea"/>
            </a:rPr>
            <a:t>培养发展新能源、新材料、节能环保、新一代信息技术、医药等新兴产业</a:t>
          </a:r>
          <a:endParaRPr lang="en-US" altLang="zh-CN" sz="1000" b="0" kern="1200" dirty="0">
            <a:solidFill>
              <a:schemeClr val="tx1"/>
            </a:solidFill>
            <a:latin typeface="+mn-ea"/>
            <a:ea typeface="+mn-ea"/>
          </a:endParaRPr>
        </a:p>
        <a:p>
          <a:pPr marL="0" lvl="0" indent="0" algn="ctr" defTabSz="444500">
            <a:lnSpc>
              <a:spcPct val="90000"/>
            </a:lnSpc>
            <a:spcBef>
              <a:spcPct val="0"/>
            </a:spcBef>
            <a:spcAft>
              <a:spcPct val="35000"/>
            </a:spcAft>
            <a:buNone/>
          </a:pPr>
          <a:endParaRPr lang="zh-CN" altLang="en-US" sz="1000" b="0" kern="1200" dirty="0">
            <a:solidFill>
              <a:schemeClr val="tx1"/>
            </a:solidFill>
            <a:latin typeface="+mn-ea"/>
            <a:ea typeface="+mn-ea"/>
          </a:endParaRPr>
        </a:p>
      </dsp:txBody>
      <dsp:txXfrm>
        <a:off x="2922162" y="30195"/>
        <a:ext cx="970538" cy="105848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5D46C9-E57A-4830-8326-B95DF2792E0A}">
      <dsp:nvSpPr>
        <dsp:cNvPr id="0" name=""/>
        <dsp:cNvSpPr/>
      </dsp:nvSpPr>
      <dsp:spPr>
        <a:xfrm>
          <a:off x="313814" y="96377"/>
          <a:ext cx="1245489" cy="1245489"/>
        </a:xfrm>
        <a:prstGeom prst="pie">
          <a:avLst>
            <a:gd name="adj1" fmla="val 16200000"/>
            <a:gd name="adj2" fmla="val 180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zh-CN" altLang="en-US" sz="1000" b="1" kern="1200" dirty="0">
              <a:effectLst/>
              <a:latin typeface="+mn-lt"/>
              <a:ea typeface="+mn-ea"/>
              <a:cs typeface="+mn-cs"/>
            </a:rPr>
            <a:t>航材</a:t>
          </a:r>
          <a:endParaRPr lang="en-US" altLang="zh-CN" sz="1000" b="1" kern="1200" dirty="0">
            <a:effectLst/>
            <a:latin typeface="+mn-lt"/>
            <a:ea typeface="+mn-ea"/>
            <a:cs typeface="+mn-cs"/>
          </a:endParaRPr>
        </a:p>
        <a:p>
          <a:pPr marL="0" lvl="0" indent="0" algn="ctr" defTabSz="444500">
            <a:lnSpc>
              <a:spcPct val="90000"/>
            </a:lnSpc>
            <a:spcBef>
              <a:spcPct val="0"/>
            </a:spcBef>
            <a:spcAft>
              <a:spcPct val="35000"/>
            </a:spcAft>
            <a:buNone/>
          </a:pPr>
          <a:r>
            <a:rPr lang="zh-CN" altLang="en-US" sz="1000" b="1" kern="1200" dirty="0">
              <a:effectLst/>
              <a:latin typeface="+mn-lt"/>
              <a:ea typeface="+mn-ea"/>
              <a:cs typeface="+mn-cs"/>
            </a:rPr>
            <a:t>加工</a:t>
          </a:r>
          <a:endParaRPr lang="zh-CN" altLang="en-US" sz="1000" b="1" kern="1200" dirty="0"/>
        </a:p>
      </dsp:txBody>
      <dsp:txXfrm>
        <a:off x="970216" y="360302"/>
        <a:ext cx="444817" cy="370681"/>
      </dsp:txXfrm>
    </dsp:sp>
    <dsp:sp modelId="{09E5D5BD-ED58-41B8-B0D6-60EA8E435005}">
      <dsp:nvSpPr>
        <dsp:cNvPr id="0" name=""/>
        <dsp:cNvSpPr/>
      </dsp:nvSpPr>
      <dsp:spPr>
        <a:xfrm>
          <a:off x="288162" y="140858"/>
          <a:ext cx="1245489" cy="1245489"/>
        </a:xfrm>
        <a:prstGeom prst="pie">
          <a:avLst>
            <a:gd name="adj1" fmla="val 1800000"/>
            <a:gd name="adj2" fmla="val 900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zh-CN" altLang="en-US" sz="1000" b="1" kern="1200" dirty="0">
              <a:effectLst/>
              <a:latin typeface="+mn-lt"/>
              <a:ea typeface="+mn-ea"/>
              <a:cs typeface="+mn-cs"/>
            </a:rPr>
            <a:t>航材</a:t>
          </a:r>
          <a:endParaRPr lang="en-US" altLang="zh-CN" sz="1000" b="1" kern="1200" dirty="0">
            <a:effectLst/>
            <a:latin typeface="+mn-lt"/>
            <a:ea typeface="+mn-ea"/>
            <a:cs typeface="+mn-cs"/>
          </a:endParaRPr>
        </a:p>
        <a:p>
          <a:pPr marL="0" lvl="0" indent="0" algn="ctr" defTabSz="444500">
            <a:lnSpc>
              <a:spcPct val="90000"/>
            </a:lnSpc>
            <a:spcBef>
              <a:spcPct val="0"/>
            </a:spcBef>
            <a:spcAft>
              <a:spcPct val="35000"/>
            </a:spcAft>
            <a:buNone/>
          </a:pPr>
          <a:r>
            <a:rPr lang="zh-CN" altLang="en-US" sz="1000" b="1" kern="1200" dirty="0">
              <a:effectLst/>
              <a:latin typeface="+mn-lt"/>
              <a:ea typeface="+mn-ea"/>
              <a:cs typeface="+mn-cs"/>
            </a:rPr>
            <a:t>检测</a:t>
          </a:r>
          <a:endParaRPr lang="zh-CN" altLang="en-US" sz="1000" b="1" kern="1200" dirty="0"/>
        </a:p>
      </dsp:txBody>
      <dsp:txXfrm>
        <a:off x="584707" y="948944"/>
        <a:ext cx="667226" cy="326199"/>
      </dsp:txXfrm>
    </dsp:sp>
    <dsp:sp modelId="{11B6B24F-C59E-4BFD-9894-E4476C902FB3}">
      <dsp:nvSpPr>
        <dsp:cNvPr id="0" name=""/>
        <dsp:cNvSpPr/>
      </dsp:nvSpPr>
      <dsp:spPr>
        <a:xfrm>
          <a:off x="262511" y="96377"/>
          <a:ext cx="1245489" cy="1245489"/>
        </a:xfrm>
        <a:prstGeom prst="pie">
          <a:avLst>
            <a:gd name="adj1" fmla="val 9000000"/>
            <a:gd name="adj2" fmla="val 1620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zh-CN" altLang="en-US" sz="1000" b="1" kern="1200" dirty="0">
              <a:effectLst/>
              <a:latin typeface="+mn-lt"/>
              <a:ea typeface="+mn-ea"/>
              <a:cs typeface="+mn-cs"/>
            </a:rPr>
            <a:t>航材</a:t>
          </a:r>
          <a:endParaRPr lang="en-US" altLang="zh-CN" sz="1000" b="1" kern="1200" dirty="0">
            <a:effectLst/>
            <a:latin typeface="+mn-lt"/>
            <a:ea typeface="+mn-ea"/>
            <a:cs typeface="+mn-cs"/>
          </a:endParaRPr>
        </a:p>
        <a:p>
          <a:pPr marL="0" lvl="0" indent="0" algn="ctr" defTabSz="444500">
            <a:lnSpc>
              <a:spcPct val="90000"/>
            </a:lnSpc>
            <a:spcBef>
              <a:spcPct val="0"/>
            </a:spcBef>
            <a:spcAft>
              <a:spcPct val="35000"/>
            </a:spcAft>
            <a:buNone/>
          </a:pPr>
          <a:r>
            <a:rPr lang="zh-CN" altLang="en-US" sz="1000" b="1" kern="1200" dirty="0">
              <a:effectLst/>
              <a:latin typeface="+mn-lt"/>
              <a:ea typeface="+mn-ea"/>
              <a:cs typeface="+mn-cs"/>
            </a:rPr>
            <a:t>研发</a:t>
          </a:r>
          <a:endParaRPr lang="zh-CN" altLang="en-US" sz="1000" b="1" kern="1200" dirty="0"/>
        </a:p>
      </dsp:txBody>
      <dsp:txXfrm>
        <a:off x="406780" y="360302"/>
        <a:ext cx="444817" cy="370681"/>
      </dsp:txXfrm>
    </dsp:sp>
    <dsp:sp modelId="{C3321833-CB77-404D-800E-71315B2F2D1D}">
      <dsp:nvSpPr>
        <dsp:cNvPr id="0" name=""/>
        <dsp:cNvSpPr/>
      </dsp:nvSpPr>
      <dsp:spPr>
        <a:xfrm>
          <a:off x="236815" y="19275"/>
          <a:ext cx="1399692" cy="1399692"/>
        </a:xfrm>
        <a:prstGeom prst="circularArrow">
          <a:avLst>
            <a:gd name="adj1" fmla="val 5085"/>
            <a:gd name="adj2" fmla="val 327528"/>
            <a:gd name="adj3" fmla="val 1472472"/>
            <a:gd name="adj4" fmla="val 16199432"/>
            <a:gd name="adj5" fmla="val 5932"/>
          </a:avLst>
        </a:prstGeom>
        <a:gradFill rotWithShape="0">
          <a:gsLst>
            <a:gs pos="0">
              <a:schemeClr val="accent1">
                <a:tint val="60000"/>
                <a:hueOff val="0"/>
                <a:satOff val="0"/>
                <a:lumOff val="0"/>
                <a:alphaOff val="0"/>
                <a:shade val="51000"/>
                <a:satMod val="130000"/>
              </a:schemeClr>
            </a:gs>
            <a:gs pos="80000">
              <a:schemeClr val="accent1">
                <a:tint val="60000"/>
                <a:hueOff val="0"/>
                <a:satOff val="0"/>
                <a:lumOff val="0"/>
                <a:alphaOff val="0"/>
                <a:shade val="93000"/>
                <a:satMod val="130000"/>
              </a:schemeClr>
            </a:gs>
            <a:gs pos="100000">
              <a:schemeClr val="accent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F8455235-0045-42EF-81C3-03A6B116D218}">
      <dsp:nvSpPr>
        <dsp:cNvPr id="0" name=""/>
        <dsp:cNvSpPr/>
      </dsp:nvSpPr>
      <dsp:spPr>
        <a:xfrm>
          <a:off x="211061" y="63678"/>
          <a:ext cx="1399692" cy="1399692"/>
        </a:xfrm>
        <a:prstGeom prst="circularArrow">
          <a:avLst>
            <a:gd name="adj1" fmla="val 5085"/>
            <a:gd name="adj2" fmla="val 327528"/>
            <a:gd name="adj3" fmla="val 8671970"/>
            <a:gd name="adj4" fmla="val 1800502"/>
            <a:gd name="adj5" fmla="val 5932"/>
          </a:avLst>
        </a:prstGeom>
        <a:gradFill rotWithShape="0">
          <a:gsLst>
            <a:gs pos="0">
              <a:schemeClr val="accent1">
                <a:tint val="60000"/>
                <a:hueOff val="0"/>
                <a:satOff val="0"/>
                <a:lumOff val="0"/>
                <a:alphaOff val="0"/>
                <a:shade val="51000"/>
                <a:satMod val="130000"/>
              </a:schemeClr>
            </a:gs>
            <a:gs pos="80000">
              <a:schemeClr val="accent1">
                <a:tint val="60000"/>
                <a:hueOff val="0"/>
                <a:satOff val="0"/>
                <a:lumOff val="0"/>
                <a:alphaOff val="0"/>
                <a:shade val="93000"/>
                <a:satMod val="130000"/>
              </a:schemeClr>
            </a:gs>
            <a:gs pos="100000">
              <a:schemeClr val="accent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E25C461B-D928-4739-8EA7-EA50ABBECCA9}">
      <dsp:nvSpPr>
        <dsp:cNvPr id="0" name=""/>
        <dsp:cNvSpPr/>
      </dsp:nvSpPr>
      <dsp:spPr>
        <a:xfrm>
          <a:off x="185307" y="19275"/>
          <a:ext cx="1399692" cy="1399692"/>
        </a:xfrm>
        <a:prstGeom prst="circularArrow">
          <a:avLst>
            <a:gd name="adj1" fmla="val 5085"/>
            <a:gd name="adj2" fmla="val 327528"/>
            <a:gd name="adj3" fmla="val 15873039"/>
            <a:gd name="adj4" fmla="val 9000000"/>
            <a:gd name="adj5" fmla="val 5932"/>
          </a:avLst>
        </a:prstGeom>
        <a:gradFill rotWithShape="0">
          <a:gsLst>
            <a:gs pos="0">
              <a:schemeClr val="accent1">
                <a:tint val="60000"/>
                <a:hueOff val="0"/>
                <a:satOff val="0"/>
                <a:lumOff val="0"/>
                <a:alphaOff val="0"/>
                <a:shade val="51000"/>
                <a:satMod val="130000"/>
              </a:schemeClr>
            </a:gs>
            <a:gs pos="80000">
              <a:schemeClr val="accent1">
                <a:tint val="60000"/>
                <a:hueOff val="0"/>
                <a:satOff val="0"/>
                <a:lumOff val="0"/>
                <a:alphaOff val="0"/>
                <a:shade val="93000"/>
                <a:satMod val="130000"/>
              </a:schemeClr>
            </a:gs>
            <a:gs pos="100000">
              <a:schemeClr val="accent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A2BE01-40D1-4E9D-83E0-FCFE0F5A1D56}">
      <dsp:nvSpPr>
        <dsp:cNvPr id="0" name=""/>
        <dsp:cNvSpPr/>
      </dsp:nvSpPr>
      <dsp:spPr>
        <a:xfrm>
          <a:off x="1806536" y="619"/>
          <a:ext cx="2709804" cy="491320"/>
        </a:xfrm>
        <a:prstGeom prst="rightArrow">
          <a:avLst>
            <a:gd name="adj1" fmla="val 75000"/>
            <a:gd name="adj2" fmla="val 50000"/>
          </a:avLst>
        </a:prstGeom>
        <a:solidFill>
          <a:schemeClr val="accent2">
            <a:tint val="40000"/>
            <a:alpha val="90000"/>
            <a:hueOff val="0"/>
            <a:satOff val="0"/>
            <a:lumOff val="0"/>
            <a:alphaOff val="0"/>
          </a:schemeClr>
        </a:solid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t" anchorCtr="0">
          <a:noAutofit/>
        </a:bodyPr>
        <a:lstStyle/>
        <a:p>
          <a:pPr marL="57150" lvl="1" indent="-57150" algn="l" defTabSz="444500">
            <a:lnSpc>
              <a:spcPct val="90000"/>
            </a:lnSpc>
            <a:spcBef>
              <a:spcPct val="0"/>
            </a:spcBef>
            <a:spcAft>
              <a:spcPct val="15000"/>
            </a:spcAft>
            <a:buChar char="•"/>
          </a:pPr>
          <a:r>
            <a:rPr lang="zh-CN" altLang="en-US" sz="1000" kern="1200" dirty="0">
              <a:latin typeface="微软雅黑" panose="020B0503020204020204" pitchFamily="34" charset="-122"/>
              <a:ea typeface="微软雅黑" panose="020B0503020204020204" pitchFamily="34" charset="-122"/>
            </a:rPr>
            <a:t>制汽轮机叶片、轴承、永久性模具</a:t>
          </a:r>
        </a:p>
      </dsp:txBody>
      <dsp:txXfrm>
        <a:off x="1806536" y="62034"/>
        <a:ext cx="2525559" cy="368490"/>
      </dsp:txXfrm>
    </dsp:sp>
    <dsp:sp modelId="{92E7B6DC-D75C-4EAB-A0EC-A53A489CE1A9}">
      <dsp:nvSpPr>
        <dsp:cNvPr id="0" name=""/>
        <dsp:cNvSpPr/>
      </dsp:nvSpPr>
      <dsp:spPr>
        <a:xfrm>
          <a:off x="0" y="619"/>
          <a:ext cx="1806536" cy="491320"/>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zh-CN" altLang="en-US" sz="1000" kern="1200" dirty="0">
              <a:latin typeface="微软雅黑" panose="020B0503020204020204" pitchFamily="34" charset="-122"/>
              <a:ea typeface="微软雅黑" panose="020B0503020204020204" pitchFamily="34" charset="-122"/>
            </a:rPr>
            <a:t>耐高温、强度高</a:t>
          </a:r>
        </a:p>
      </dsp:txBody>
      <dsp:txXfrm>
        <a:off x="23984" y="24603"/>
        <a:ext cx="1758568" cy="443352"/>
      </dsp:txXfrm>
    </dsp:sp>
    <dsp:sp modelId="{8E739CB7-5BA7-46E1-8BDD-371368219307}">
      <dsp:nvSpPr>
        <dsp:cNvPr id="0" name=""/>
        <dsp:cNvSpPr/>
      </dsp:nvSpPr>
      <dsp:spPr>
        <a:xfrm>
          <a:off x="1806536" y="541071"/>
          <a:ext cx="2709804" cy="491320"/>
        </a:xfrm>
        <a:prstGeom prst="rightArrow">
          <a:avLst>
            <a:gd name="adj1" fmla="val 75000"/>
            <a:gd name="adj2" fmla="val 50000"/>
          </a:avLst>
        </a:prstGeom>
        <a:solidFill>
          <a:schemeClr val="accent3">
            <a:tint val="40000"/>
            <a:alpha val="90000"/>
            <a:hueOff val="0"/>
            <a:satOff val="0"/>
            <a:lumOff val="0"/>
            <a:alphaOff val="0"/>
          </a:schemeClr>
        </a:solidFill>
        <a:ln w="25400" cap="flat" cmpd="sng" algn="ctr">
          <a:solidFill>
            <a:schemeClr val="accent3">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t" anchorCtr="0">
          <a:noAutofit/>
        </a:bodyPr>
        <a:lstStyle/>
        <a:p>
          <a:pPr marL="57150" lvl="1" indent="-57150" algn="l" defTabSz="444500">
            <a:lnSpc>
              <a:spcPct val="90000"/>
            </a:lnSpc>
            <a:spcBef>
              <a:spcPct val="0"/>
            </a:spcBef>
            <a:spcAft>
              <a:spcPct val="15000"/>
            </a:spcAft>
            <a:buChar char="•"/>
          </a:pPr>
          <a:r>
            <a:rPr lang="zh-CN" altLang="en-US" sz="1000" kern="1200" dirty="0">
              <a:latin typeface="微软雅黑" panose="020B0503020204020204" pitchFamily="34" charset="-122"/>
              <a:ea typeface="微软雅黑" panose="020B0503020204020204" pitchFamily="34" charset="-122"/>
            </a:rPr>
            <a:t>作绝缘体、半导体、导体、超导体等</a:t>
          </a:r>
        </a:p>
      </dsp:txBody>
      <dsp:txXfrm>
        <a:off x="1806536" y="602486"/>
        <a:ext cx="2525559" cy="368490"/>
      </dsp:txXfrm>
    </dsp:sp>
    <dsp:sp modelId="{D4449B0D-A7F5-482A-BF1F-38993CC549EF}">
      <dsp:nvSpPr>
        <dsp:cNvPr id="0" name=""/>
        <dsp:cNvSpPr/>
      </dsp:nvSpPr>
      <dsp:spPr>
        <a:xfrm>
          <a:off x="0" y="541071"/>
          <a:ext cx="1806536" cy="491320"/>
        </a:xfrm>
        <a:prstGeom prst="round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66725">
            <a:lnSpc>
              <a:spcPct val="90000"/>
            </a:lnSpc>
            <a:spcBef>
              <a:spcPct val="0"/>
            </a:spcBef>
            <a:spcAft>
              <a:spcPct val="35000"/>
            </a:spcAft>
            <a:buNone/>
          </a:pPr>
          <a:r>
            <a:rPr lang="zh-CN" altLang="en-US" sz="1050" kern="1200" dirty="0">
              <a:latin typeface="微软雅黑" panose="020B0503020204020204" pitchFamily="34" charset="-122"/>
              <a:ea typeface="微软雅黑" panose="020B0503020204020204" pitchFamily="34" charset="-122"/>
            </a:rPr>
            <a:t>具有</a:t>
          </a:r>
          <a:r>
            <a:rPr lang="zh-CN" altLang="en-US" sz="1000" kern="1200" dirty="0">
              <a:latin typeface="微软雅黑" panose="020B0503020204020204" pitchFamily="34" charset="-122"/>
              <a:ea typeface="微软雅黑" panose="020B0503020204020204" pitchFamily="34" charset="-122"/>
            </a:rPr>
            <a:t>电学</a:t>
          </a:r>
          <a:r>
            <a:rPr lang="zh-CN" altLang="en-US" sz="1050" kern="1200" dirty="0">
              <a:latin typeface="微软雅黑" panose="020B0503020204020204" pitchFamily="34" charset="-122"/>
              <a:ea typeface="微软雅黑" panose="020B0503020204020204" pitchFamily="34" charset="-122"/>
            </a:rPr>
            <a:t>特性的</a:t>
          </a:r>
        </a:p>
      </dsp:txBody>
      <dsp:txXfrm>
        <a:off x="23984" y="565055"/>
        <a:ext cx="1758568" cy="443352"/>
      </dsp:txXfrm>
    </dsp:sp>
    <dsp:sp modelId="{63E0DAE2-C76A-4B59-B371-8C7AFE8C98FA}">
      <dsp:nvSpPr>
        <dsp:cNvPr id="0" name=""/>
        <dsp:cNvSpPr/>
      </dsp:nvSpPr>
      <dsp:spPr>
        <a:xfrm>
          <a:off x="1806536" y="1081523"/>
          <a:ext cx="2709804" cy="491320"/>
        </a:xfrm>
        <a:prstGeom prst="rightArrow">
          <a:avLst>
            <a:gd name="adj1" fmla="val 75000"/>
            <a:gd name="adj2" fmla="val 50000"/>
          </a:avLst>
        </a:prstGeom>
        <a:solidFill>
          <a:schemeClr val="accent4">
            <a:tint val="40000"/>
            <a:alpha val="90000"/>
            <a:hueOff val="0"/>
            <a:satOff val="0"/>
            <a:lumOff val="0"/>
            <a:alphaOff val="0"/>
          </a:schemeClr>
        </a:solidFill>
        <a:ln w="25400" cap="flat" cmpd="sng" algn="ctr">
          <a:solidFill>
            <a:schemeClr val="accent4">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t" anchorCtr="0">
          <a:noAutofit/>
        </a:bodyPr>
        <a:lstStyle/>
        <a:p>
          <a:pPr marL="57150" lvl="1" indent="-57150" algn="l" defTabSz="444500">
            <a:lnSpc>
              <a:spcPct val="90000"/>
            </a:lnSpc>
            <a:spcBef>
              <a:spcPct val="0"/>
            </a:spcBef>
            <a:spcAft>
              <a:spcPct val="15000"/>
            </a:spcAft>
            <a:buChar char="•"/>
          </a:pPr>
          <a:r>
            <a:rPr lang="zh-CN" altLang="en-US" sz="1000" kern="1200" dirty="0">
              <a:latin typeface="微软雅黑" panose="020B0503020204020204" pitchFamily="34" charset="-122"/>
              <a:ea typeface="微软雅黑" panose="020B0503020204020204" pitchFamily="34" charset="-122"/>
            </a:rPr>
            <a:t>用于医疗、信息处理、通讯等</a:t>
          </a:r>
        </a:p>
      </dsp:txBody>
      <dsp:txXfrm>
        <a:off x="1806536" y="1142938"/>
        <a:ext cx="2525559" cy="368490"/>
      </dsp:txXfrm>
    </dsp:sp>
    <dsp:sp modelId="{1D8BB08F-175C-46BC-ABED-4DC7CB813C28}">
      <dsp:nvSpPr>
        <dsp:cNvPr id="0" name=""/>
        <dsp:cNvSpPr/>
      </dsp:nvSpPr>
      <dsp:spPr>
        <a:xfrm>
          <a:off x="0" y="1081523"/>
          <a:ext cx="1806536" cy="491320"/>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66725">
            <a:lnSpc>
              <a:spcPct val="90000"/>
            </a:lnSpc>
            <a:spcBef>
              <a:spcPct val="0"/>
            </a:spcBef>
            <a:spcAft>
              <a:spcPct val="35000"/>
            </a:spcAft>
            <a:buNone/>
          </a:pPr>
          <a:r>
            <a:rPr lang="zh-CN" altLang="en-US" sz="1050" kern="1200" dirty="0">
              <a:latin typeface="微软雅黑" panose="020B0503020204020204" pitchFamily="34" charset="-122"/>
              <a:ea typeface="微软雅黑" panose="020B0503020204020204" pitchFamily="34" charset="-122"/>
            </a:rPr>
            <a:t>具有</a:t>
          </a:r>
          <a:r>
            <a:rPr lang="zh-CN" altLang="en-US" sz="1000" kern="1200" dirty="0">
              <a:latin typeface="微软雅黑" panose="020B0503020204020204" pitchFamily="34" charset="-122"/>
              <a:ea typeface="微软雅黑" panose="020B0503020204020204" pitchFamily="34" charset="-122"/>
            </a:rPr>
            <a:t>光学</a:t>
          </a:r>
          <a:r>
            <a:rPr lang="zh-CN" altLang="en-US" sz="1050" kern="1200" dirty="0">
              <a:latin typeface="微软雅黑" panose="020B0503020204020204" pitchFamily="34" charset="-122"/>
              <a:ea typeface="微软雅黑" panose="020B0503020204020204" pitchFamily="34" charset="-122"/>
            </a:rPr>
            <a:t>特性的</a:t>
          </a:r>
        </a:p>
      </dsp:txBody>
      <dsp:txXfrm>
        <a:off x="23984" y="1105507"/>
        <a:ext cx="1758568" cy="443352"/>
      </dsp:txXfrm>
    </dsp:sp>
    <dsp:sp modelId="{4885F32D-4DC4-4C56-BC79-C41C18E03303}">
      <dsp:nvSpPr>
        <dsp:cNvPr id="0" name=""/>
        <dsp:cNvSpPr/>
      </dsp:nvSpPr>
      <dsp:spPr>
        <a:xfrm>
          <a:off x="1806536" y="1621975"/>
          <a:ext cx="2709804" cy="491320"/>
        </a:xfrm>
        <a:prstGeom prst="rightArrow">
          <a:avLst>
            <a:gd name="adj1" fmla="val 75000"/>
            <a:gd name="adj2" fmla="val 50000"/>
          </a:avLst>
        </a:prstGeom>
        <a:solidFill>
          <a:schemeClr val="accent5">
            <a:tint val="40000"/>
            <a:alpha val="90000"/>
            <a:hueOff val="0"/>
            <a:satOff val="0"/>
            <a:lumOff val="0"/>
            <a:alphaOff val="0"/>
          </a:schemeClr>
        </a:solidFill>
        <a:ln w="25400" cap="flat" cmpd="sng" algn="ctr">
          <a:solidFill>
            <a:schemeClr val="accent5">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t" anchorCtr="0">
          <a:noAutofit/>
        </a:bodyPr>
        <a:lstStyle/>
        <a:p>
          <a:pPr marL="57150" lvl="1" indent="-57150" algn="l" defTabSz="444500">
            <a:lnSpc>
              <a:spcPct val="90000"/>
            </a:lnSpc>
            <a:spcBef>
              <a:spcPct val="0"/>
            </a:spcBef>
            <a:spcAft>
              <a:spcPct val="15000"/>
            </a:spcAft>
            <a:buChar char="•"/>
          </a:pPr>
          <a:r>
            <a:rPr lang="zh-CN" altLang="en-US" sz="1000" kern="1200" dirty="0">
              <a:latin typeface="微软雅黑" panose="020B0503020204020204" pitchFamily="34" charset="-122"/>
              <a:ea typeface="微软雅黑" panose="020B0503020204020204" pitchFamily="34" charset="-122"/>
            </a:rPr>
            <a:t>用于制人造牙齿、人造骨骼等</a:t>
          </a:r>
        </a:p>
      </dsp:txBody>
      <dsp:txXfrm>
        <a:off x="1806536" y="1683390"/>
        <a:ext cx="2525559" cy="368490"/>
      </dsp:txXfrm>
    </dsp:sp>
    <dsp:sp modelId="{1C1C704F-5019-4E88-860F-323B84B650D4}">
      <dsp:nvSpPr>
        <dsp:cNvPr id="0" name=""/>
        <dsp:cNvSpPr/>
      </dsp:nvSpPr>
      <dsp:spPr>
        <a:xfrm>
          <a:off x="0" y="1621975"/>
          <a:ext cx="1806536" cy="491320"/>
        </a:xfrm>
        <a:prstGeom prst="round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66725">
            <a:lnSpc>
              <a:spcPct val="90000"/>
            </a:lnSpc>
            <a:spcBef>
              <a:spcPct val="0"/>
            </a:spcBef>
            <a:spcAft>
              <a:spcPct val="35000"/>
            </a:spcAft>
            <a:buNone/>
          </a:pPr>
          <a:r>
            <a:rPr lang="zh-CN" altLang="en-US" sz="1050" kern="1200" dirty="0">
              <a:latin typeface="微软雅黑" panose="020B0503020204020204" pitchFamily="34" charset="-122"/>
              <a:ea typeface="微软雅黑" panose="020B0503020204020204" pitchFamily="34" charset="-122"/>
            </a:rPr>
            <a:t>具有</a:t>
          </a:r>
          <a:r>
            <a:rPr lang="zh-CN" altLang="en-US" sz="1000" kern="1200" dirty="0">
              <a:latin typeface="微软雅黑" panose="020B0503020204020204" pitchFamily="34" charset="-122"/>
              <a:ea typeface="微软雅黑" panose="020B0503020204020204" pitchFamily="34" charset="-122"/>
            </a:rPr>
            <a:t>生物</a:t>
          </a:r>
          <a:r>
            <a:rPr lang="zh-CN" altLang="en-US" sz="1050" kern="1200" dirty="0">
              <a:latin typeface="微软雅黑" panose="020B0503020204020204" pitchFamily="34" charset="-122"/>
              <a:ea typeface="微软雅黑" panose="020B0503020204020204" pitchFamily="34" charset="-122"/>
            </a:rPr>
            <a:t>功能</a:t>
          </a:r>
        </a:p>
      </dsp:txBody>
      <dsp:txXfrm>
        <a:off x="23984" y="1645959"/>
        <a:ext cx="1758568" cy="443352"/>
      </dsp:txXfrm>
    </dsp:sp>
  </dsp:spTree>
</dsp:drawing>
</file>

<file path=word/diagrams/layout1.xml><?xml version="1.0" encoding="utf-8"?>
<dgm:layoutDef xmlns:dgm="http://schemas.openxmlformats.org/drawingml/2006/diagram" xmlns:a="http://schemas.openxmlformats.org/drawingml/2006/main" uniqueId="urn:microsoft.com/office/officeart/2008/layout/HexagonCluster">
  <dgm:title val=""/>
  <dgm:desc val=""/>
  <dgm:catLst>
    <dgm:cat type="picture" pri="21000"/>
    <dgm:cat type="relationship" pri="3200"/>
    <dgm:cat type="pictureconvert" pri="21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21"/>
      <dgm:chPref val="21"/>
    </dgm:varLst>
    <dgm:shape xmlns:r="http://schemas.openxmlformats.org/officeDocument/2006/relationships" r:blip="">
      <dgm:adjLst/>
    </dgm:shape>
    <dgm:choose name="Name1">
      <dgm:if name="Name2" axis="ch" ptType="node" func="cnt" op="equ" val="1">
        <dgm:alg type="composite">
          <dgm:param type="ar" val="1.3871"/>
        </dgm:alg>
        <dgm:constrLst>
          <dgm:constr type="primFontSz" for="des" ptType="node" op="equ" val="65"/>
          <dgm:constr type="l" for="ch" forName="text1" refType="w" fact="0.4525"/>
          <dgm:constr type="t" for="ch" forName="text1" refType="h" fact="0.346"/>
          <dgm:constr type="w" for="ch" forName="text1" refType="w" fact="0.5475"/>
          <dgm:constr type="h" for="ch" forName="text1" refType="h" fact="0.654"/>
          <dgm:constr type="l" for="ch" forName="textaccent1" refType="w" fact="0.4652"/>
          <dgm:constr type="t" for="ch" forName="textaccent1" refType="h" fact="0.6348"/>
          <dgm:constr type="w" for="ch" forName="textaccent1" refType="w" fact="0.0639"/>
          <dgm:constr type="h" for="ch" forName="textaccent1" refType="h" fact="0.0765"/>
          <dgm:constr type="l" for="ch" forName="image1" refType="w" fact="0"/>
          <dgm:constr type="t" for="ch" forName="image1" refType="h" fact="0"/>
          <dgm:constr type="w" for="ch" forName="image1" refType="w" fact="0.5468"/>
          <dgm:constr type="h" for="ch" forName="image1" refType="h" fact="0.6538"/>
          <dgm:constr type="l" for="ch" forName="imageaccent1" refType="w" fact="0.3702"/>
          <dgm:constr type="t" for="ch" forName="imageaccent1" refType="h" fact="0.5633"/>
          <dgm:constr type="w" for="ch" forName="imageaccent1" refType="w" fact="0.0639"/>
          <dgm:constr type="h" for="ch" forName="imageaccent1" refType="h" fact="0.0765"/>
        </dgm:constrLst>
      </dgm:if>
      <dgm:if name="Name3" axis="ch" ptType="node" func="cnt" op="equ" val="2">
        <dgm:alg type="composite">
          <dgm:param type="ar" val="2.6443"/>
        </dgm:alg>
        <dgm:constrLst>
          <dgm:constr type="primFontSz" for="des" ptType="node" op="equ" val="65"/>
          <dgm:constr type="l" for="ch" forName="text1" refType="w" fact="0.2383"/>
          <dgm:constr type="t" for="ch" forName="text1" refType="h" fact="0.3501"/>
          <dgm:constr type="w" for="ch" forName="text1" refType="w" fact="0.285"/>
          <dgm:constr type="h" for="ch" forName="text1" refType="h" fact="0.6499"/>
          <dgm:constr type="l" for="ch" forName="textaccent1" refType="w" fact="0.2472"/>
          <dgm:constr type="t" for="ch" forName="textaccent1" refType="h" fact="0.6371"/>
          <dgm:constr type="w" for="ch" forName="textaccent1" refType="w" fact="0.0333"/>
          <dgm:constr type="h" for="ch" forName="textaccent1" refType="h" fact="0.076"/>
          <dgm:constr type="l" for="ch" forName="image1" refType="w" fact="0"/>
          <dgm:constr type="t" for="ch" forName="image1" refType="h" fact="0"/>
          <dgm:constr type="w" for="ch" forName="image1" refType="w" fact="0.285"/>
          <dgm:constr type="h" for="ch" forName="image1" refType="h" fact="0.6499"/>
          <dgm:constr type="l" for="ch" forName="imageaccent1" refType="w" fact="0.1942"/>
          <dgm:constr type="t" for="ch" forName="imageaccent1" refType="h" fact="0.5602"/>
          <dgm:constr type="w" for="ch" forName="imageaccent1" refType="w" fact="0.0333"/>
          <dgm:constr type="h" for="ch" forName="imageaccent1" refType="h" fact="0.076"/>
          <dgm:constr type="l" for="ch" forName="text2" refType="w" fact="0.4767"/>
          <dgm:constr type="t" for="ch" forName="text2" refType="h" fact="0"/>
          <dgm:constr type="w" for="ch" forName="text2" refType="w" fact="0.285"/>
          <dgm:constr type="h" for="ch" forName="text2" refType="h" fact="0.6499"/>
          <dgm:constr type="l" for="ch" forName="textaccent2" refType="w" fact="0.6709"/>
          <dgm:constr type="t" for="ch" forName="textaccent2" refType="h" fact="0.5602"/>
          <dgm:constr type="w" for="ch" forName="textaccent2" refType="w" fact="0.0333"/>
          <dgm:constr type="h" for="ch" forName="textaccent2" refType="h" fact="0.076"/>
          <dgm:constr type="l" for="ch" forName="image2" refType="w" fact="0.715"/>
          <dgm:constr type="t" for="ch" forName="image2" refType="h" fact="0.3501"/>
          <dgm:constr type="w" for="ch" forName="image2" refType="w" fact="0.285"/>
          <dgm:constr type="h" for="ch" forName="image2" refType="h" fact="0.6499"/>
          <dgm:constr type="l" for="ch" forName="imageaccent2" refType="w" fact="0.7239"/>
          <dgm:constr type="t" for="ch" forName="imageaccent2" refType="h" fact="0.6371"/>
          <dgm:constr type="w" for="ch" forName="imageaccent2" refType="w" fact="0.0333"/>
          <dgm:constr type="h" for="ch" forName="imageaccent2" refType="h" fact="0.076"/>
        </dgm:constrLst>
      </dgm:if>
      <dgm:if name="Name4" axis="ch" ptType="node" func="cnt" op="equ" val="3">
        <dgm:alg type="composite">
          <dgm:param type="ar" val="1.5623"/>
        </dgm:alg>
        <dgm:constrLst>
          <dgm:constr type="primFontSz" for="des" ptType="node" op="equ" val="65"/>
          <dgm:constr type="l" for="ch" forName="text1" refType="w" fact="0.2402"/>
          <dgm:constr type="t" for="ch" forName="text1" refType="h" fact="0.6215"/>
          <dgm:constr type="w" for="ch" forName="text1" refType="w" fact="0.281"/>
          <dgm:constr type="h" for="ch" forName="text1" refType="h" fact="0.3785"/>
          <dgm:constr type="l" for="ch" forName="textaccent1" refType="w" fact="0.2475"/>
          <dgm:constr type="t" for="ch" forName="textaccent1" refType="h" fact="0.7886"/>
          <dgm:constr type="w" for="ch" forName="textaccent1" refType="w" fact="0.0329"/>
          <dgm:constr type="h" for="ch" forName="textaccent1" refType="h" fact="0.0443"/>
          <dgm:constr type="l" for="ch" forName="image1" refType="w" fact="0"/>
          <dgm:constr type="t" for="ch" forName="image1" refType="h" fact="0.4182"/>
          <dgm:constr type="w" for="ch" forName="image1" refType="w" fact="0.281"/>
          <dgm:constr type="h" for="ch" forName="image1" refType="h" fact="0.3785"/>
          <dgm:constr type="l" for="ch" forName="imageaccent1" refType="w" fact="0.1913"/>
          <dgm:constr type="t" for="ch" forName="imageaccent1" refType="h" fact="0.7467"/>
          <dgm:constr type="w" for="ch" forName="imageaccent1" refType="w" fact="0.0329"/>
          <dgm:constr type="h" for="ch" forName="imageaccent1" refType="h" fact="0.0443"/>
          <dgm:constr type="l" for="ch" forName="text2" refType="w" fact="0.4796"/>
          <dgm:constr type="t" for="ch" forName="text2" refType="h" fact="0.4137"/>
          <dgm:constr type="w" for="ch" forName="text2" refType="w" fact="0.281"/>
          <dgm:constr type="h" for="ch" forName="text2" refType="h" fact="0.3785"/>
          <dgm:constr type="l" for="ch" forName="textaccent2" refType="w" fact="0.6717"/>
          <dgm:constr type="t" for="ch" forName="textaccent2" refType="h" fact="0.7418"/>
          <dgm:constr type="w" for="ch" forName="textaccent2" refType="w" fact="0.0329"/>
          <dgm:constr type="h" for="ch" forName="textaccent2" refType="h" fact="0.0443"/>
          <dgm:constr type="l" for="ch" forName="image2" refType="w" fact="0.719"/>
          <dgm:constr type="t" for="ch" forName="image2" refType="h" fact="0.6215"/>
          <dgm:constr type="w" for="ch" forName="image2" refType="w" fact="0.281"/>
          <dgm:constr type="h" for="ch" forName="image2" refType="h" fact="0.3785"/>
          <dgm:constr type="l" for="ch" forName="imageaccent2" refType="w" fact="0.7263"/>
          <dgm:constr type="t" for="ch" forName="imageaccent2" refType="h" fact="0.7886"/>
          <dgm:constr type="w" for="ch" forName="imageaccent2" refType="w" fact="0.0329"/>
          <dgm:constr type="h" for="ch" forName="imageaccent2" refType="h" fact="0.0443"/>
          <dgm:constr type="l" for="ch" forName="text3" refType="w" fact="0.2402"/>
          <dgm:constr type="t" for="ch" forName="text3" refType="h" fact="0.2068"/>
          <dgm:constr type="w" for="ch" forName="text3" refType="w" fact="0.281"/>
          <dgm:constr type="h" for="ch" forName="text3" refType="h" fact="0.3785"/>
          <dgm:constr type="l" for="ch" forName="textaccent3" refType="w" fact="0.4307"/>
          <dgm:constr type="t" for="ch" forName="textaccent3" refType="h" fact="0.215"/>
          <dgm:constr type="w" for="ch" forName="textaccent3" refType="w" fact="0.0329"/>
          <dgm:constr type="h" for="ch" forName="textaccent3" refType="h" fact="0.0443"/>
          <dgm:constr type="l" for="ch" forName="image3" refType="w" fact="0.4796"/>
          <dgm:constr type="t" for="ch" forName="image3" refType="h" fact="0"/>
          <dgm:constr type="w" for="ch" forName="image3" refType="w" fact="0.281"/>
          <dgm:constr type="h" for="ch" forName="image3" refType="h" fact="0.3785"/>
          <dgm:constr type="l" for="ch" forName="imageaccent3" refType="w" fact="0.4879"/>
          <dgm:constr type="t" for="ch" forName="imageaccent3" refType="h" fact="0.1662"/>
          <dgm:constr type="w" for="ch" forName="imageaccent3" refType="w" fact="0.0329"/>
          <dgm:constr type="h" for="ch" forName="imageaccent3" refType="h" fact="0.0443"/>
        </dgm:constrLst>
      </dgm:if>
      <dgm:if name="Name5" axis="ch" ptType="node" func="cnt" op="equ" val="4">
        <dgm:alg type="composite">
          <dgm:param type="ar" val="1.943"/>
        </dgm:alg>
        <dgm:constrLst>
          <dgm:constr type="primFontSz" for="des" ptType="node" op="equ" val="65"/>
          <dgm:constr type="l" for="ch" forName="image2" refType="w" fact="0.5787"/>
          <dgm:constr type="t" for="ch" forName="image2" refType="h" fact="0.6208"/>
          <dgm:constr type="w" for="ch" forName="image2" refType="w" fact="0.227"/>
          <dgm:constr type="h" for="ch" forName="image2" refType="h" fact="0.3786"/>
          <dgm:constr type="l" for="ch" forName="text4" refType="w" fact="0.5787"/>
          <dgm:constr type="t" for="ch" forName="text4" refType="h" fact="0.2081"/>
          <dgm:constr type="w" for="ch" forName="text4" refType="w" fact="0.227"/>
          <dgm:constr type="h" for="ch" forName="text4" refType="h" fact="0.3786"/>
          <dgm:constr type="l" for="ch" forName="text2" refType="w" fact="0.3852"/>
          <dgm:constr type="t" for="ch" forName="text2" refType="h" fact="0.4127"/>
          <dgm:constr type="w" for="ch" forName="text2" refType="w" fact="0.227"/>
          <dgm:constr type="h" for="ch" forName="text2" refType="h" fact="0.3786"/>
          <dgm:constr type="l" for="ch" forName="image3" refType="w" fact="0.3852"/>
          <dgm:constr type="t" for="ch" forName="image3" refType="h" fact="0"/>
          <dgm:constr type="w" for="ch" forName="image3" refType="w" fact="0.227"/>
          <dgm:constr type="h" for="ch" forName="image3" refType="h" fact="0.3786"/>
          <dgm:constr type="l" for="ch" forName="text1" refType="w" fact="0.1927"/>
          <dgm:constr type="t" for="ch" forName="text1" refType="h" fact="0.6214"/>
          <dgm:constr type="w" for="ch" forName="text1" refType="w" fact="0.227"/>
          <dgm:constr type="h" for="ch" forName="text1" refType="h" fact="0.3786"/>
          <dgm:constr type="l" for="ch" forName="textaccent1" refType="w" fact="0.1998"/>
          <dgm:constr type="t" for="ch" forName="textaccent1" refType="h" fact="0.7887"/>
          <dgm:constr type="w" for="ch" forName="textaccent1" refType="w" fact="0.0265"/>
          <dgm:constr type="h" for="ch" forName="textaccent1" refType="h" fact="0.0444"/>
          <dgm:constr type="l" for="ch" forName="image1" refType="w" fact="0"/>
          <dgm:constr type="t" for="ch" forName="image1" refType="h" fact="0.4156"/>
          <dgm:constr type="w" for="ch" forName="image1" refType="w" fact="0.227"/>
          <dgm:constr type="h" for="ch" forName="image1" refType="h" fact="0.3786"/>
          <dgm:constr type="l" for="ch" forName="imageaccent1" refType="w" fact="0.1537"/>
          <dgm:constr type="t" for="ch" forName="imageaccent1" refType="h" fact="0.7417"/>
          <dgm:constr type="w" for="ch" forName="imageaccent1" refType="w" fact="0.0265"/>
          <dgm:constr type="h" for="ch" forName="imageaccent1" refType="h" fact="0.0444"/>
          <dgm:constr type="l" for="ch" forName="textaccent2" refType="w" fact="0.5407"/>
          <dgm:constr type="t" for="ch" forName="textaccent2" refType="h" fact="0.7384"/>
          <dgm:constr type="w" for="ch" forName="textaccent2" refType="w" fact="0.0265"/>
          <dgm:constr type="h" for="ch" forName="textaccent2" refType="h" fact="0.0444"/>
          <dgm:constr type="l" for="ch" forName="imageaccent2" refType="w" fact="0.5839"/>
          <dgm:constr type="t" for="ch" forName="imageaccent2" refType="h" fact="0.7904"/>
          <dgm:constr type="w" for="ch" forName="imageaccent2" refType="w" fact="0.0265"/>
          <dgm:constr type="h" for="ch" forName="imageaccent2" refType="h" fact="0.0444"/>
          <dgm:constr type="l" for="ch" forName="text3" refType="w" fact="0.1927"/>
          <dgm:constr type="t" for="ch" forName="text3" refType="h" fact="0.2087"/>
          <dgm:constr type="w" for="ch" forName="text3" refType="w" fact="0.227"/>
          <dgm:constr type="h" for="ch" forName="text3" refType="h" fact="0.3786"/>
          <dgm:constr type="l" for="ch" forName="textaccent3" refType="w" fact="0.3472"/>
          <dgm:constr type="t" for="ch" forName="textaccent3" refType="h" fact="0.2165"/>
          <dgm:constr type="w" for="ch" forName="textaccent3" refType="w" fact="0.0265"/>
          <dgm:constr type="h" for="ch" forName="textaccent3" refType="h" fact="0.0444"/>
          <dgm:constr type="l" for="ch" forName="imageaccent3" refType="w" fact="0.3904"/>
          <dgm:constr type="t" for="ch" forName="imageaccent3" refType="h" fact="0.1678"/>
          <dgm:constr type="w" for="ch" forName="imageaccent3" refType="w" fact="0.0265"/>
          <dgm:constr type="h" for="ch" forName="imageaccent3" refType="h" fact="0.0444"/>
          <dgm:constr type="l" for="ch" forName="textaccent4" refType="w" fact="0.7739"/>
          <dgm:constr type="t" for="ch" forName="textaccent4" refType="h" fact="0.3752"/>
          <dgm:constr type="w" for="ch" forName="textaccent4" refType="w" fact="0.0265"/>
          <dgm:constr type="h" for="ch" forName="textaccent4" refType="h" fact="0.0444"/>
          <dgm:constr type="l" for="ch" forName="image4" refType="w" fact="0.773"/>
          <dgm:constr type="t" for="ch" forName="image4" refType="h" fact="0.4162"/>
          <dgm:constr type="w" for="ch" forName="image4" refType="w" fact="0.227"/>
          <dgm:constr type="h" for="ch" forName="image4" refType="h" fact="0.3786"/>
          <dgm:constr type="l" for="ch" forName="imageaccent4" refType="w" fact="0.8188"/>
          <dgm:constr type="t" for="ch" forName="imageaccent4" refType="h" fact="0.4229"/>
          <dgm:constr type="w" for="ch" forName="imageaccent4" refType="w" fact="0.0265"/>
          <dgm:constr type="h" for="ch" forName="imageaccent4" refType="h" fact="0.0444"/>
        </dgm:constrLst>
      </dgm:if>
      <dgm:if name="Name6" axis="ch" ptType="node" func="cnt" op="equ" val="5">
        <dgm:alg type="composite">
          <dgm:param type="ar" val="2.3203"/>
        </dgm:alg>
        <dgm:constrLst>
          <dgm:constr type="primFontSz" for="des" ptType="node" op="equ" val="65"/>
          <dgm:constr type="l" for="ch" forName="image4" refType="w" fact="0.6491"/>
          <dgm:constr type="t" for="ch" forName="image4" refType="h" fact="0.4193"/>
          <dgm:constr type="w" for="ch" forName="image4" refType="w" fact="0.1886"/>
          <dgm:constr type="h" for="ch" forName="image4" refType="h" fact="0.3757"/>
          <dgm:constr type="l" for="ch" forName="text5" refType="w" fact="0.6491"/>
          <dgm:constr type="t" for="ch" forName="text5" refType="h" fact="0.004"/>
          <dgm:constr type="w" for="ch" forName="text5" refType="w" fact="0.1886"/>
          <dgm:constr type="h" for="ch" forName="text5" refType="h" fact="0.3757"/>
          <dgm:constr type="l" for="ch" forName="image5" refType="w" fact="0.8114"/>
          <dgm:constr type="t" for="ch" forName="image5" refType="h" fact="0.2136"/>
          <dgm:constr type="w" for="ch" forName="image5" refType="w" fact="0.1886"/>
          <dgm:constr type="h" for="ch" forName="image5" refType="h" fact="0.3757"/>
          <dgm:constr type="l" for="ch" forName="image2" refType="w" fact="0.4868"/>
          <dgm:constr type="t" for="ch" forName="image2" refType="h" fact="0.6235"/>
          <dgm:constr type="w" for="ch" forName="image2" refType="w" fact="0.1886"/>
          <dgm:constr type="h" for="ch" forName="image2" refType="h" fact="0.3757"/>
          <dgm:constr type="l" for="ch" forName="text4" refType="w" fact="0.4868"/>
          <dgm:constr type="t" for="ch" forName="text4" refType="h" fact="0.2081"/>
          <dgm:constr type="w" for="ch" forName="text4" refType="w" fact="0.1886"/>
          <dgm:constr type="h" for="ch" forName="text4" refType="h" fact="0.3757"/>
          <dgm:constr type="l" for="ch" forName="text2" refType="w" fact="0.3246"/>
          <dgm:constr type="t" for="ch" forName="text2" refType="h" fact="0.4154"/>
          <dgm:constr type="w" for="ch" forName="text2" refType="w" fact="0.1886"/>
          <dgm:constr type="h" for="ch" forName="text2" refType="h" fact="0.3757"/>
          <dgm:constr type="l" for="ch" forName="image3" refType="w" fact="0.3246"/>
          <dgm:constr type="t" for="ch" forName="image3" refType="h" fact="0"/>
          <dgm:constr type="w" for="ch" forName="image3" refType="w" fact="0.1886"/>
          <dgm:constr type="h" for="ch" forName="image3" refType="h" fact="0.3757"/>
          <dgm:constr type="l" for="ch" forName="text1" refType="w" fact="0.1623"/>
          <dgm:constr type="t" for="ch" forName="text1" refType="h" fact="0.6243"/>
          <dgm:constr type="w" for="ch" forName="text1" refType="w" fact="0.1886"/>
          <dgm:constr type="h" for="ch" forName="text1" refType="h" fact="0.3757"/>
          <dgm:constr type="l" for="ch" forName="text3" refType="w" fact="0.1623"/>
          <dgm:constr type="t" for="ch" forName="text3" refType="h" fact="0.2089"/>
          <dgm:constr type="w" for="ch" forName="text3" refType="w" fact="0.1886"/>
          <dgm:constr type="h" for="ch" forName="text3" refType="h" fact="0.3757"/>
          <dgm:constr type="l" for="ch" forName="textaccent1" refType="w" fact="0.1668"/>
          <dgm:constr type="t" for="ch" forName="textaccent1" refType="h" fact="0.7923"/>
          <dgm:constr type="w" for="ch" forName="textaccent1" refType="w" fact="0.022"/>
          <dgm:constr type="h" for="ch" forName="textaccent1" refType="h" fact="0.044"/>
          <dgm:constr type="l" for="ch" forName="image1" refType="w" fact="0"/>
          <dgm:constr type="t" for="ch" forName="image1" refType="h" fact="0.4166"/>
          <dgm:constr type="w" for="ch" forName="image1" refType="w" fact="0.1886"/>
          <dgm:constr type="h" for="ch" forName="image1" refType="h" fact="0.3757"/>
          <dgm:constr type="l" for="ch" forName="imageaccent1" refType="w" fact="0.1292"/>
          <dgm:constr type="t" for="ch" forName="imageaccent1" refType="h" fact="0.7424"/>
          <dgm:constr type="w" for="ch" forName="imageaccent1" refType="w" fact="0.022"/>
          <dgm:constr type="h" for="ch" forName="imageaccent1" refType="h" fact="0.044"/>
          <dgm:constr type="l" for="ch" forName="textaccent2" refType="w" fact="0.4544"/>
          <dgm:constr type="t" for="ch" forName="textaccent2" refType="h" fact="0.7404"/>
          <dgm:constr type="w" for="ch" forName="textaccent2" refType="w" fact="0.022"/>
          <dgm:constr type="h" for="ch" forName="textaccent2" refType="h" fact="0.044"/>
          <dgm:constr type="l" for="ch" forName="imageaccent2" refType="w" fact="0.4914"/>
          <dgm:constr type="t" for="ch" forName="imageaccent2" refType="h" fact="0.7907"/>
          <dgm:constr type="w" for="ch" forName="imageaccent2" refType="w" fact="0.022"/>
          <dgm:constr type="h" for="ch" forName="imageaccent2" refType="h" fact="0.044"/>
          <dgm:constr type="l" for="ch" forName="textaccent3" refType="w" fact="0.2915"/>
          <dgm:constr type="t" for="ch" forName="textaccent3" refType="h" fact="0.216"/>
          <dgm:constr type="w" for="ch" forName="textaccent3" refType="w" fact="0.022"/>
          <dgm:constr type="h" for="ch" forName="textaccent3" refType="h" fact="0.044"/>
          <dgm:constr type="l" for="ch" forName="imageaccent3" refType="w" fact="0.3299"/>
          <dgm:constr type="t" for="ch" forName="imageaccent3" refType="h" fact="0.1665"/>
          <dgm:constr type="w" for="ch" forName="imageaccent3" refType="w" fact="0.022"/>
          <dgm:constr type="h" for="ch" forName="imageaccent3" refType="h" fact="0.044"/>
          <dgm:constr type="l" for="ch" forName="textaccent4" refType="w" fact="0.65"/>
          <dgm:constr type="t" for="ch" forName="textaccent4" refType="h" fact="0.3746"/>
          <dgm:constr type="w" for="ch" forName="textaccent4" refType="w" fact="0.022"/>
          <dgm:constr type="h" for="ch" forName="textaccent4" refType="h" fact="0.044"/>
          <dgm:constr type="l" for="ch" forName="imageaccent4" refType="w" fact="0.6859"/>
          <dgm:constr type="t" for="ch" forName="imageaccent4" refType="h" fact="0.4261"/>
          <dgm:constr type="w" for="ch" forName="imageaccent4" refType="w" fact="0.022"/>
          <dgm:constr type="h" for="ch" forName="imageaccent4" refType="h" fact="0.044"/>
          <dgm:constr type="l" for="ch" forName="textaccent5" refType="w" fact="0.8123"/>
          <dgm:constr type="t" for="ch" forName="textaccent5" refType="h" fact="0.1724"/>
          <dgm:constr type="w" for="ch" forName="textaccent5" refType="w" fact="0.022"/>
          <dgm:constr type="h" for="ch" forName="textaccent5" refType="h" fact="0.044"/>
          <dgm:constr type="l" for="ch" forName="imageaccent5" refType="w" fact="0.849"/>
          <dgm:constr type="t" for="ch" forName="imageaccent5" refType="h" fact="0.222"/>
          <dgm:constr type="w" for="ch" forName="imageaccent5" refType="w" fact="0.022"/>
          <dgm:constr type="h" for="ch" forName="imageaccent5" refType="h" fact="0.044"/>
        </dgm:constrLst>
      </dgm:if>
      <dgm:if name="Name7" axis="ch" ptType="node" func="cnt" op="equ" val="6">
        <dgm:alg type="composite">
          <dgm:param type="ar" val="1.9179"/>
        </dgm:alg>
        <dgm:constrLst>
          <dgm:constr type="primFontSz" for="des" ptType="node" op="equ" val="65"/>
          <dgm:constr type="l" for="ch" forName="image4" refType="w" fact="0.6491"/>
          <dgm:constr type="t" for="ch" forName="image4" refType="h" fact="0.3466"/>
          <dgm:constr type="w" for="ch" forName="image4" refType="w" fact="0.1886"/>
          <dgm:constr type="h" for="ch" forName="image4" refType="h" fact="0.3106"/>
          <dgm:constr type="l" for="ch" forName="text5" refType="w" fact="0.6491"/>
          <dgm:constr type="t" for="ch" forName="text5" refType="h" fact="0.0033"/>
          <dgm:constr type="w" for="ch" forName="text5" refType="w" fact="0.1886"/>
          <dgm:constr type="h" for="ch" forName="text5" refType="h" fact="0.3106"/>
          <dgm:constr type="l" for="ch" forName="image5" refType="w" fact="0.8114"/>
          <dgm:constr type="t" for="ch" forName="image5" refType="h" fact="0.1766"/>
          <dgm:constr type="w" for="ch" forName="image5" refType="w" fact="0.1886"/>
          <dgm:constr type="h" for="ch" forName="image5" refType="h" fact="0.3106"/>
          <dgm:constr type="l" for="ch" forName="image2" refType="w" fact="0.4868"/>
          <dgm:constr type="t" for="ch" forName="image2" refType="h" fact="0.5154"/>
          <dgm:constr type="w" for="ch" forName="image2" refType="w" fact="0.1886"/>
          <dgm:constr type="h" for="ch" forName="image2" refType="h" fact="0.3106"/>
          <dgm:constr type="l" for="ch" forName="text4" refType="w" fact="0.4868"/>
          <dgm:constr type="t" for="ch" forName="text4" refType="h" fact="0.172"/>
          <dgm:constr type="w" for="ch" forName="text4" refType="w" fact="0.1886"/>
          <dgm:constr type="h" for="ch" forName="text4" refType="h" fact="0.3106"/>
          <dgm:constr type="l" for="ch" forName="text2" refType="w" fact="0.3246"/>
          <dgm:constr type="t" for="ch" forName="text2" refType="h" fact="0.3434"/>
          <dgm:constr type="w" for="ch" forName="text2" refType="w" fact="0.1886"/>
          <dgm:constr type="h" for="ch" forName="text2" refType="h" fact="0.3106"/>
          <dgm:constr type="l" for="ch" forName="image3" refType="w" fact="0.3246"/>
          <dgm:constr type="t" for="ch" forName="image3" refType="h" fact="0"/>
          <dgm:constr type="w" for="ch" forName="image3" refType="w" fact="0.1886"/>
          <dgm:constr type="h" for="ch" forName="image3" refType="h" fact="0.3106"/>
          <dgm:constr type="l" for="ch" forName="text1" refType="w" fact="0.1623"/>
          <dgm:constr type="t" for="ch" forName="text1" refType="h" fact="0.516"/>
          <dgm:constr type="w" for="ch" forName="text1" refType="w" fact="0.1886"/>
          <dgm:constr type="h" for="ch" forName="text1" refType="h" fact="0.3106"/>
          <dgm:constr type="l" for="ch" forName="text3" refType="w" fact="0.1623"/>
          <dgm:constr type="t" for="ch" forName="text3" refType="h" fact="0.1727"/>
          <dgm:constr type="w" for="ch" forName="text3" refType="w" fact="0.1886"/>
          <dgm:constr type="h" for="ch" forName="text3" refType="h" fact="0.3106"/>
          <dgm:constr type="l" for="ch" forName="textaccent1" refType="w" fact="0.1668"/>
          <dgm:constr type="t" for="ch" forName="textaccent1" refType="h" fact="0.6549"/>
          <dgm:constr type="w" for="ch" forName="textaccent1" refType="w" fact="0.022"/>
          <dgm:constr type="h" for="ch" forName="textaccent1" refType="h" fact="0.0364"/>
          <dgm:constr type="l" for="ch" forName="image1" refType="w" fact="0"/>
          <dgm:constr type="t" for="ch" forName="image1" refType="h" fact="0.3443"/>
          <dgm:constr type="w" for="ch" forName="image1" refType="w" fact="0.1886"/>
          <dgm:constr type="h" for="ch" forName="image1" refType="h" fact="0.3106"/>
          <dgm:constr type="l" for="ch" forName="imageaccent1" refType="w" fact="0.1292"/>
          <dgm:constr type="t" for="ch" forName="imageaccent1" refType="h" fact="0.6137"/>
          <dgm:constr type="w" for="ch" forName="imageaccent1" refType="w" fact="0.022"/>
          <dgm:constr type="h" for="ch" forName="imageaccent1" refType="h" fact="0.0364"/>
          <dgm:constr type="l" for="ch" forName="textaccent2" refType="w" fact="0.4544"/>
          <dgm:constr type="t" for="ch" forName="textaccent2" refType="h" fact="0.612"/>
          <dgm:constr type="w" for="ch" forName="textaccent2" refType="w" fact="0.022"/>
          <dgm:constr type="h" for="ch" forName="textaccent2" refType="h" fact="0.0364"/>
          <dgm:constr type="l" for="ch" forName="imageaccent2" refType="w" fact="0.4914"/>
          <dgm:constr type="t" for="ch" forName="imageaccent2" refType="h" fact="0.6536"/>
          <dgm:constr type="w" for="ch" forName="imageaccent2" refType="w" fact="0.022"/>
          <dgm:constr type="h" for="ch" forName="imageaccent2" refType="h" fact="0.0364"/>
          <dgm:constr type="l" for="ch" forName="textaccent3" refType="w" fact="0.2915"/>
          <dgm:constr type="t" for="ch" forName="textaccent3" refType="h" fact="0.1786"/>
          <dgm:constr type="w" for="ch" forName="textaccent3" refType="w" fact="0.022"/>
          <dgm:constr type="h" for="ch" forName="textaccent3" refType="h" fact="0.0364"/>
          <dgm:constr type="l" for="ch" forName="imageaccent3" refType="w" fact="0.3299"/>
          <dgm:constr type="t" for="ch" forName="imageaccent3" refType="h" fact="0.1376"/>
          <dgm:constr type="w" for="ch" forName="imageaccent3" refType="w" fact="0.022"/>
          <dgm:constr type="h" for="ch" forName="imageaccent3" refType="h" fact="0.0364"/>
          <dgm:constr type="l" for="ch" forName="textaccent4" refType="w" fact="0.65"/>
          <dgm:constr type="t" for="ch" forName="textaccent4" refType="h" fact="0.3096"/>
          <dgm:constr type="w" for="ch" forName="textaccent4" refType="w" fact="0.022"/>
          <dgm:constr type="h" for="ch" forName="textaccent4" refType="h" fact="0.0364"/>
          <dgm:constr type="l" for="ch" forName="imageaccent4" refType="w" fact="0.6859"/>
          <dgm:constr type="t" for="ch" forName="imageaccent4" refType="h" fact="0.3522"/>
          <dgm:constr type="w" for="ch" forName="imageaccent4" refType="w" fact="0.022"/>
          <dgm:constr type="h" for="ch" forName="imageaccent4" refType="h" fact="0.0364"/>
          <dgm:constr type="l" for="ch" forName="textaccent5" refType="w" fact="0.8123"/>
          <dgm:constr type="t" for="ch" forName="textaccent5" refType="h" fact="0.1425"/>
          <dgm:constr type="w" for="ch" forName="textaccent5" refType="w" fact="0.022"/>
          <dgm:constr type="h" for="ch" forName="textaccent5" refType="h" fact="0.0364"/>
          <dgm:constr type="l" for="ch" forName="imageaccent5" refType="w" fact="0.849"/>
          <dgm:constr type="t" for="ch" forName="imageaccent5" refType="h" fact="0.1835"/>
          <dgm:constr type="w" for="ch" forName="imageaccent5" refType="w" fact="0.022"/>
          <dgm:constr type="h" for="ch" forName="imageaccent5" refType="h" fact="0.0364"/>
          <dgm:constr type="l" for="ch" forName="image6" refType="w" fact="0.6491"/>
          <dgm:constr type="t" for="ch" forName="image6" refType="h" fact="0.6894"/>
          <dgm:constr type="w" for="ch" forName="image6" refType="w" fact="0.1886"/>
          <dgm:constr type="h" for="ch" forName="image6" refType="h" fact="0.3106"/>
          <dgm:constr type="l" for="ch" forName="text6" refType="w" fact="0.8114"/>
          <dgm:constr type="t" for="ch" forName="text6" refType="h" fact="0.5194"/>
          <dgm:constr type="w" for="ch" forName="text6" refType="w" fact="0.1886"/>
          <dgm:constr type="h" for="ch" forName="text6" refType="h" fact="0.3106"/>
          <dgm:constr type="l" for="ch" forName="imageaccent6" refType="w" fact="0.8138"/>
          <dgm:constr type="t" for="ch" forName="imageaccent6" refType="h" fact="0.8257"/>
          <dgm:constr type="w" for="ch" forName="imageaccent6" refType="w" fact="0.022"/>
          <dgm:constr type="h" for="ch" forName="imageaccent6" refType="h" fact="0.0364"/>
          <dgm:constr type="l" for="ch" forName="textaccent6" refType="w" fact="0.8488"/>
          <dgm:constr type="t" for="ch" forName="textaccent6" refType="h" fact="0.7914"/>
          <dgm:constr type="w" for="ch" forName="textaccent6" refType="w" fact="0.022"/>
          <dgm:constr type="h" for="ch" forName="textaccent6" refType="h" fact="0.0364"/>
        </dgm:constrLst>
      </dgm:if>
      <dgm:if name="Name8" axis="ch" ptType="node" func="cnt" op="equ" val="7">
        <dgm:alg type="composite">
          <dgm:param type="ar" val="1.6382"/>
        </dgm:alg>
        <dgm:constrLst>
          <dgm:constr type="primFontSz" for="des" ptType="node" op="equ" val="65"/>
          <dgm:constr type="l" for="ch" forName="image4" refType="w" fact="0.6491"/>
          <dgm:constr type="t" for="ch" forName="image4" refType="h" fact="0.2961"/>
          <dgm:constr type="w" for="ch" forName="image4" refType="w" fact="0.1886"/>
          <dgm:constr type="h" for="ch" forName="image4" refType="h" fact="0.2653"/>
          <dgm:constr type="l" for="ch" forName="text5" refType="w" fact="0.6491"/>
          <dgm:constr type="t" for="ch" forName="text5" refType="h" fact="0.0028"/>
          <dgm:constr type="w" for="ch" forName="text5" refType="w" fact="0.1886"/>
          <dgm:constr type="h" for="ch" forName="text5" refType="h" fact="0.2653"/>
          <dgm:constr type="l" for="ch" forName="image5" refType="w" fact="0.8114"/>
          <dgm:constr type="t" for="ch" forName="image5" refType="h" fact="0.1508"/>
          <dgm:constr type="w" for="ch" forName="image5" refType="w" fact="0.1886"/>
          <dgm:constr type="h" for="ch" forName="image5" refType="h" fact="0.2653"/>
          <dgm:constr type="l" for="ch" forName="image2" refType="w" fact="0.4868"/>
          <dgm:constr type="t" for="ch" forName="image2" refType="h" fact="0.4402"/>
          <dgm:constr type="w" for="ch" forName="image2" refType="w" fact="0.1886"/>
          <dgm:constr type="h" for="ch" forName="image2" refType="h" fact="0.2653"/>
          <dgm:constr type="l" for="ch" forName="text4" refType="w" fact="0.4868"/>
          <dgm:constr type="t" for="ch" forName="text4" refType="h" fact="0.1469"/>
          <dgm:constr type="w" for="ch" forName="text4" refType="w" fact="0.1886"/>
          <dgm:constr type="h" for="ch" forName="text4" refType="h" fact="0.2653"/>
          <dgm:constr type="l" for="ch" forName="text2" refType="w" fact="0.3246"/>
          <dgm:constr type="t" for="ch" forName="text2" refType="h" fact="0.2933"/>
          <dgm:constr type="w" for="ch" forName="text2" refType="w" fact="0.1886"/>
          <dgm:constr type="h" for="ch" forName="text2" refType="h" fact="0.2653"/>
          <dgm:constr type="l" for="ch" forName="image3" refType="w" fact="0.3246"/>
          <dgm:constr type="t" for="ch" forName="image3" refType="h" fact="0"/>
          <dgm:constr type="w" for="ch" forName="image3" refType="w" fact="0.1886"/>
          <dgm:constr type="h" for="ch" forName="image3" refType="h" fact="0.2653"/>
          <dgm:constr type="l" for="ch" forName="text1" refType="w" fact="0.1623"/>
          <dgm:constr type="t" for="ch" forName="text1" refType="h" fact="0.4408"/>
          <dgm:constr type="w" for="ch" forName="text1" refType="w" fact="0.1886"/>
          <dgm:constr type="h" for="ch" forName="text1" refType="h" fact="0.2653"/>
          <dgm:constr type="l" for="ch" forName="text3" refType="w" fact="0.1623"/>
          <dgm:constr type="t" for="ch" forName="text3" refType="h" fact="0.1475"/>
          <dgm:constr type="w" for="ch" forName="text3" refType="w" fact="0.1886"/>
          <dgm:constr type="h" for="ch" forName="text3" refType="h" fact="0.2653"/>
          <dgm:constr type="l" for="ch" forName="textaccent1" refType="w" fact="0.1668"/>
          <dgm:constr type="t" for="ch" forName="textaccent1" refType="h" fact="0.5594"/>
          <dgm:constr type="w" for="ch" forName="textaccent1" refType="w" fact="0.022"/>
          <dgm:constr type="h" for="ch" forName="textaccent1" refType="h" fact="0.0311"/>
          <dgm:constr type="l" for="ch" forName="image1" refType="w" fact="0"/>
          <dgm:constr type="t" for="ch" forName="image1" refType="h" fact="0.2941"/>
          <dgm:constr type="w" for="ch" forName="image1" refType="w" fact="0.1886"/>
          <dgm:constr type="h" for="ch" forName="image1" refType="h" fact="0.2653"/>
          <dgm:constr type="l" for="ch" forName="imageaccent1" refType="w" fact="0.1292"/>
          <dgm:constr type="t" for="ch" forName="imageaccent1" refType="h" fact="0.5242"/>
          <dgm:constr type="w" for="ch" forName="imageaccent1" refType="w" fact="0.022"/>
          <dgm:constr type="h" for="ch" forName="imageaccent1" refType="h" fact="0.0311"/>
          <dgm:constr type="l" for="ch" forName="textaccent2" refType="w" fact="0.4544"/>
          <dgm:constr type="t" for="ch" forName="textaccent2" refType="h" fact="0.5228"/>
          <dgm:constr type="w" for="ch" forName="textaccent2" refType="w" fact="0.022"/>
          <dgm:constr type="h" for="ch" forName="textaccent2" refType="h" fact="0.0311"/>
          <dgm:constr type="l" for="ch" forName="imageaccent2" refType="w" fact="0.4914"/>
          <dgm:constr type="t" for="ch" forName="imageaccent2" refType="h" fact="0.5583"/>
          <dgm:constr type="w" for="ch" forName="imageaccent2" refType="w" fact="0.022"/>
          <dgm:constr type="h" for="ch" forName="imageaccent2" refType="h" fact="0.0311"/>
          <dgm:constr type="l" for="ch" forName="textaccent3" refType="w" fact="0.2907"/>
          <dgm:constr type="t" for="ch" forName="textaccent3" refType="h" fact="0.1511"/>
          <dgm:constr type="w" for="ch" forName="textaccent3" refType="w" fact="0.022"/>
          <dgm:constr type="h" for="ch" forName="textaccent3" refType="h" fact="0.0311"/>
          <dgm:constr type="l" for="ch" forName="imageaccent3" refType="w" fact="0.3299"/>
          <dgm:constr type="t" for="ch" forName="imageaccent3" refType="h" fact="0.1175"/>
          <dgm:constr type="w" for="ch" forName="imageaccent3" refType="w" fact="0.022"/>
          <dgm:constr type="h" for="ch" forName="imageaccent3" refType="h" fact="0.0311"/>
          <dgm:constr type="l" for="ch" forName="textaccent4" refType="w" fact="0.65"/>
          <dgm:constr type="t" for="ch" forName="textaccent4" refType="h" fact="0.2645"/>
          <dgm:constr type="w" for="ch" forName="textaccent4" refType="w" fact="0.022"/>
          <dgm:constr type="h" for="ch" forName="textaccent4" refType="h" fact="0.0311"/>
          <dgm:constr type="l" for="ch" forName="imageaccent4" refType="w" fact="0.6859"/>
          <dgm:constr type="t" for="ch" forName="imageaccent4" refType="h" fact="0.3008"/>
          <dgm:constr type="w" for="ch" forName="imageaccent4" refType="w" fact="0.022"/>
          <dgm:constr type="h" for="ch" forName="imageaccent4" refType="h" fact="0.0311"/>
          <dgm:constr type="l" for="ch" forName="textaccent5" refType="w" fact="0.8123"/>
          <dgm:constr type="t" for="ch" forName="textaccent5" refType="h" fact="0.1217"/>
          <dgm:constr type="w" for="ch" forName="textaccent5" refType="w" fact="0.022"/>
          <dgm:constr type="h" for="ch" forName="textaccent5" refType="h" fact="0.0311"/>
          <dgm:constr type="l" for="ch" forName="imageaccent5" refType="w" fact="0.849"/>
          <dgm:constr type="t" for="ch" forName="imageaccent5" refType="h" fact="0.1567"/>
          <dgm:constr type="w" for="ch" forName="imageaccent5" refType="w" fact="0.022"/>
          <dgm:constr type="h" for="ch" forName="imageaccent5" refType="h" fact="0.0311"/>
          <dgm:constr type="l" for="ch" forName="image6" refType="w" fact="0.6491"/>
          <dgm:constr type="t" for="ch" forName="image6" refType="h" fact="0.5889"/>
          <dgm:constr type="w" for="ch" forName="image6" refType="w" fact="0.1886"/>
          <dgm:constr type="h" for="ch" forName="image6" refType="h" fact="0.2653"/>
          <dgm:constr type="l" for="ch" forName="text6" refType="w" fact="0.8114"/>
          <dgm:constr type="t" for="ch" forName="text6" refType="h" fact="0.4436"/>
          <dgm:constr type="w" for="ch" forName="text6" refType="w" fact="0.1886"/>
          <dgm:constr type="h" for="ch" forName="text6" refType="h" fact="0.2653"/>
          <dgm:constr type="l" for="ch" forName="imageaccent6" refType="w" fact="0.8138"/>
          <dgm:constr type="t" for="ch" forName="imageaccent6" refType="h" fact="0.7053"/>
          <dgm:constr type="w" for="ch" forName="imageaccent6" refType="w" fact="0.022"/>
          <dgm:constr type="h" for="ch" forName="imageaccent6" refType="h" fact="0.0311"/>
          <dgm:constr type="l" for="ch" forName="textaccent6" refType="w" fact="0.8488"/>
          <dgm:constr type="t" for="ch" forName="textaccent6" refType="h" fact="0.676"/>
          <dgm:constr type="w" for="ch" forName="textaccent6" refType="w" fact="0.022"/>
          <dgm:constr type="h" for="ch" forName="textaccent6" refType="h" fact="0.0311"/>
          <dgm:constr type="l" for="ch" forName="text7" refType="w" fact="0.3244"/>
          <dgm:constr type="t" for="ch" forName="text7" refType="h" fact="0.5872"/>
          <dgm:constr type="w" for="ch" forName="text7" refType="w" fact="0.1886"/>
          <dgm:constr type="h" for="ch" forName="text7" refType="h" fact="0.2653"/>
          <dgm:constr type="l" for="ch" forName="image7" refType="w" fact="0.1622"/>
          <dgm:constr type="t" for="ch" forName="image7" refType="h" fact="0.7347"/>
          <dgm:constr type="w" for="ch" forName="image7" refType="w" fact="0.1886"/>
          <dgm:constr type="h" for="ch" forName="image7" refType="h" fact="0.2653"/>
          <dgm:constr type="l" for="ch" forName="imageaccent7" refType="w" fact="0.2905"/>
          <dgm:constr type="t" for="ch" forName="imageaccent7" refType="h" fact="0.7384"/>
          <dgm:constr type="w" for="ch" forName="imageaccent7" refType="w" fact="0.022"/>
          <dgm:constr type="h" for="ch" forName="imageaccent7" refType="h" fact="0.0311"/>
          <dgm:constr type="l" for="ch" forName="textaccent7" refType="w" fact="0.3298"/>
          <dgm:constr type="t" for="ch" forName="textaccent7" refType="h" fact="0.7048"/>
          <dgm:constr type="w" for="ch" forName="textaccent7" refType="w" fact="0.022"/>
          <dgm:constr type="h" for="ch" forName="textaccent7" refType="h" fact="0.0311"/>
        </dgm:constrLst>
      </dgm:if>
      <dgm:if name="Name9" axis="ch" ptType="node" func="cnt" op="equ" val="8">
        <dgm:alg type="composite">
          <dgm:param type="ar" val="1.8974"/>
        </dgm:alg>
        <dgm:constrLst>
          <dgm:constr type="primFontSz" for="des" ptType="node" op="equ" val="65"/>
          <dgm:constr type="l" for="ch" forName="image4" refType="w" fact="0.5589"/>
          <dgm:constr type="t" for="ch" forName="image4" refType="h" fact="0.2952"/>
          <dgm:constr type="w" for="ch" forName="image4" refType="w" fact="0.1624"/>
          <dgm:constr type="h" for="ch" forName="image4" refType="h" fact="0.2645"/>
          <dgm:constr type="l" for="ch" forName="text5" refType="w" fact="0.5589"/>
          <dgm:constr type="t" for="ch" forName="text5" refType="h" fact="0.0028"/>
          <dgm:constr type="w" for="ch" forName="text5" refType="w" fact="0.1624"/>
          <dgm:constr type="h" for="ch" forName="text5" refType="h" fact="0.2645"/>
          <dgm:constr type="l" for="ch" forName="image5" refType="w" fact="0.6986"/>
          <dgm:constr type="t" for="ch" forName="image5" refType="h" fact="0.1504"/>
          <dgm:constr type="w" for="ch" forName="image5" refType="w" fact="0.1624"/>
          <dgm:constr type="h" for="ch" forName="image5" refType="h" fact="0.2645"/>
          <dgm:constr type="l" for="ch" forName="image2" refType="w" fact="0.4192"/>
          <dgm:constr type="t" for="ch" forName="image2" refType="h" fact="0.439"/>
          <dgm:constr type="w" for="ch" forName="image2" refType="w" fact="0.1624"/>
          <dgm:constr type="h" for="ch" forName="image2" refType="h" fact="0.2645"/>
          <dgm:constr type="l" for="ch" forName="text4" refType="w" fact="0.4192"/>
          <dgm:constr type="t" for="ch" forName="text4" refType="h" fact="0.1465"/>
          <dgm:constr type="w" for="ch" forName="text4" refType="w" fact="0.1624"/>
          <dgm:constr type="h" for="ch" forName="text4" refType="h" fact="0.2645"/>
          <dgm:constr type="l" for="ch" forName="text2" refType="w" fact="0.2794"/>
          <dgm:constr type="t" for="ch" forName="text2" refType="h" fact="0.2925"/>
          <dgm:constr type="w" for="ch" forName="text2" refType="w" fact="0.1624"/>
          <dgm:constr type="h" for="ch" forName="text2" refType="h" fact="0.2645"/>
          <dgm:constr type="l" for="ch" forName="image3" refType="w" fact="0.2794"/>
          <dgm:constr type="t" for="ch" forName="image3" refType="h" fact="0"/>
          <dgm:constr type="w" for="ch" forName="image3" refType="w" fact="0.1624"/>
          <dgm:constr type="h" for="ch" forName="image3" refType="h" fact="0.2645"/>
          <dgm:constr type="l" for="ch" forName="text1" refType="w" fact="0.1397"/>
          <dgm:constr type="t" for="ch" forName="text1" refType="h" fact="0.4395"/>
          <dgm:constr type="w" for="ch" forName="text1" refType="w" fact="0.1624"/>
          <dgm:constr type="h" for="ch" forName="text1" refType="h" fact="0.2645"/>
          <dgm:constr type="l" for="ch" forName="text3" refType="w" fact="0.1397"/>
          <dgm:constr type="t" for="ch" forName="text3" refType="h" fact="0.1471"/>
          <dgm:constr type="w" for="ch" forName="text3" refType="w" fact="0.1624"/>
          <dgm:constr type="h" for="ch" forName="text3" refType="h" fact="0.2645"/>
          <dgm:constr type="l" for="ch" forName="textaccent1" refType="w" fact="0.1436"/>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4"/>
          <dgm:constr type="h" for="ch" forName="image1" refType="h" fact="0.2645"/>
          <dgm:constr type="l" for="ch" forName="imageaccent1" refType="w" fact="0.1112"/>
          <dgm:constr type="t" for="ch" forName="imageaccent1" refType="h" fact="0.5227"/>
          <dgm:constr type="w" for="ch" forName="imageaccent1" refType="w" fact="0.0189"/>
          <dgm:constr type="h" for="ch" forName="imageaccent1" refType="h" fact="0.031"/>
          <dgm:constr type="l" for="ch" forName="textaccent2" refType="w" fact="0.3912"/>
          <dgm:constr type="t" for="ch" forName="textaccent2" refType="h" fact="0.5213"/>
          <dgm:constr type="w" for="ch" forName="textaccent2" refType="w" fact="0.0189"/>
          <dgm:constr type="h" for="ch" forName="textaccent2" refType="h" fact="0.031"/>
          <dgm:constr type="l" for="ch" forName="imageaccent2" refType="w" fact="0.4231"/>
          <dgm:constr type="t" for="ch" forName="imageaccent2" refType="h" fact="0.5567"/>
          <dgm:constr type="w" for="ch" forName="imageaccent2" refType="w" fact="0.0189"/>
          <dgm:constr type="h" for="ch" forName="imageaccent2" refType="h" fact="0.031"/>
          <dgm:constr type="l" for="ch" forName="textaccent3" refType="w" fact="0.2502"/>
          <dgm:constr type="t" for="ch" forName="textaccent3" refType="h" fact="0.1507"/>
          <dgm:constr type="w" for="ch" forName="textaccent3" refType="w" fact="0.0189"/>
          <dgm:constr type="h" for="ch" forName="textaccent3" refType="h" fact="0.031"/>
          <dgm:constr type="l" for="ch" forName="imageaccent3" refType="w" fact="0.2841"/>
          <dgm:constr type="t" for="ch" forName="imageaccent3" refType="h" fact="0.1172"/>
          <dgm:constr type="w" for="ch" forName="imageaccent3" refType="w" fact="0.0189"/>
          <dgm:constr type="h" for="ch" forName="imageaccent3" refType="h" fact="0.031"/>
          <dgm:constr type="l" for="ch" forName="textaccent4" refType="w" fact="0.5596"/>
          <dgm:constr type="t" for="ch" forName="textaccent4" refType="h" fact="0.2637"/>
          <dgm:constr type="w" for="ch" forName="textaccent4" refType="w" fact="0.0189"/>
          <dgm:constr type="h" for="ch" forName="textaccent4" refType="h" fact="0.031"/>
          <dgm:constr type="l" for="ch" forName="imageaccent4" refType="w" fact="0.5905"/>
          <dgm:constr type="t" for="ch" forName="imageaccent4" refType="h" fact="0.3"/>
          <dgm:constr type="w" for="ch" forName="imageaccent4" refType="w" fact="0.0189"/>
          <dgm:constr type="h" for="ch" forName="imageaccent4" refType="h" fact="0.031"/>
          <dgm:constr type="l" for="ch" forName="textaccent5" refType="w" fact="0.6993"/>
          <dgm:constr type="t" for="ch" forName="textaccent5" refType="h" fact="0.1214"/>
          <dgm:constr type="w" for="ch" forName="textaccent5" refType="w" fact="0.0189"/>
          <dgm:constr type="h" for="ch" forName="textaccent5" refType="h" fact="0.031"/>
          <dgm:constr type="l" for="ch" forName="imageaccent5" refType="w" fact="0.731"/>
          <dgm:constr type="t" for="ch" forName="imageaccent5" refType="h" fact="0.1563"/>
          <dgm:constr type="w" for="ch" forName="imageaccent5" refType="w" fact="0.0189"/>
          <dgm:constr type="h" for="ch" forName="imageaccent5" refType="h" fact="0.031"/>
          <dgm:constr type="l" for="ch" forName="image6" refType="w" fact="0.5589"/>
          <dgm:constr type="t" for="ch" forName="image6" refType="h" fact="0.5872"/>
          <dgm:constr type="w" for="ch" forName="image6" refType="w" fact="0.1624"/>
          <dgm:constr type="h" for="ch" forName="image6" refType="h" fact="0.2645"/>
          <dgm:constr type="l" for="ch" forName="text6" refType="w" fact="0.6986"/>
          <dgm:constr type="t" for="ch" forName="text6" refType="h" fact="0.4424"/>
          <dgm:constr type="w" for="ch" forName="text6" refType="w" fact="0.1624"/>
          <dgm:constr type="h" for="ch" forName="text6" refType="h" fact="0.2645"/>
          <dgm:constr type="l" for="ch" forName="imageaccent6" refType="w" fact="0.7007"/>
          <dgm:constr type="t" for="ch" forName="imageaccent6" refType="h" fact="0.7033"/>
          <dgm:constr type="w" for="ch" forName="imageaccent6" refType="w" fact="0.0189"/>
          <dgm:constr type="h" for="ch" forName="imageaccent6" refType="h" fact="0.031"/>
          <dgm:constr type="l" for="ch" forName="textaccent6" refType="w" fact="0.7308"/>
          <dgm:constr type="t" for="ch" forName="textaccent6" refType="h" fact="0.6741"/>
          <dgm:constr type="w" for="ch" forName="textaccent6" refType="w" fact="0.0189"/>
          <dgm:constr type="h" for="ch" forName="textaccent6" refType="h" fact="0.031"/>
          <dgm:constr type="l" for="ch" forName="text7" refType="w" fact="0.2793"/>
          <dgm:constr type="t" for="ch" forName="text7" refType="h" fact="0.5856"/>
          <dgm:constr type="w" for="ch" forName="text7" refType="w" fact="0.1624"/>
          <dgm:constr type="h" for="ch" forName="text7" refType="h" fact="0.2645"/>
          <dgm:constr type="l" for="ch" forName="image7" refType="w" fact="0.1396"/>
          <dgm:constr type="t" for="ch" forName="image7" refType="h" fact="0.7326"/>
          <dgm:constr type="w" for="ch" forName="image7" refType="w" fact="0.1624"/>
          <dgm:constr type="h" for="ch" forName="image7" refType="h" fact="0.2645"/>
          <dgm:constr type="l" for="ch" forName="imageaccent7" refType="w" fact="0.2501"/>
          <dgm:constr type="t" for="ch" forName="imageaccent7" refType="h" fact="0.7363"/>
          <dgm:constr type="w" for="ch" forName="imageaccent7" refType="w" fact="0.0189"/>
          <dgm:constr type="h" for="ch" forName="imageaccent7" refType="h" fact="0.031"/>
          <dgm:constr type="l" for="ch" forName="textaccent7" refType="w" fact="0.284"/>
          <dgm:constr type="t" for="ch" forName="textaccent7" refType="h" fact="0.7028"/>
          <dgm:constr type="w" for="ch" forName="textaccent7" refType="w" fact="0.0189"/>
          <dgm:constr type="h" for="ch" forName="textaccent7" refType="h" fact="0.031"/>
          <dgm:constr type="l" for="ch" forName="image8" refType="w" fact="0.6979"/>
          <dgm:constr type="t" for="ch" forName="image8" refType="h" fact="0.7355"/>
          <dgm:constr type="w" for="ch" forName="image8" refType="w" fact="0.1624"/>
          <dgm:constr type="h" for="ch" forName="image8" refType="h" fact="0.2645"/>
          <dgm:constr type="l" for="ch" forName="text8" refType="w" fact="0.8376"/>
          <dgm:constr type="t" for="ch" forName="text8" refType="h" fact="0.5906"/>
          <dgm:constr type="w" for="ch" forName="text8" refType="w" fact="0.1624"/>
          <dgm:constr type="h" for="ch" forName="text8" refType="h" fact="0.2645"/>
          <dgm:constr type="l" for="ch" forName="imageaccent8" refType="w" fact="0.8397"/>
          <dgm:constr type="t" for="ch" forName="imageaccent8" refType="h" fact="0.8516"/>
          <dgm:constr type="w" for="ch" forName="imageaccent8" refType="w" fact="0.0189"/>
          <dgm:constr type="h" for="ch" forName="imageaccent8" refType="h" fact="0.031"/>
          <dgm:constr type="l" for="ch" forName="textaccent8" refType="w" fact="0.8698"/>
          <dgm:constr type="t" for="ch" forName="textaccent8" refType="h" fact="0.8223"/>
          <dgm:constr type="w" for="ch" forName="textaccent8" refType="w" fact="0.0189"/>
          <dgm:constr type="h" for="ch" forName="textaccent8" refType="h" fact="0.031"/>
        </dgm:constrLst>
      </dgm:if>
      <dgm:if name="Name10" axis="ch" ptType="node" func="cnt" op="equ" val="9">
        <dgm:alg type="composite">
          <dgm:param type="ar" val="1.8986"/>
        </dgm:alg>
        <dgm:constrLst>
          <dgm:constr type="primFontSz" for="des" ptType="node" op="equ" val="65"/>
          <dgm:constr type="l" for="ch" forName="image4" refType="w" fact="0.5585"/>
          <dgm:constr type="t" for="ch" forName="image4" refType="h" fact="0.2952"/>
          <dgm:constr type="w" for="ch" forName="image4" refType="w" fact="0.1623"/>
          <dgm:constr type="h" for="ch" forName="image4" refType="h" fact="0.2645"/>
          <dgm:constr type="l" for="ch" forName="text5" refType="w" fact="0.5585"/>
          <dgm:constr type="t" for="ch" forName="text5" refType="h" fact="0.0028"/>
          <dgm:constr type="w" for="ch" forName="text5" refType="w" fact="0.1623"/>
          <dgm:constr type="h" for="ch" forName="text5" refType="h" fact="0.2645"/>
          <dgm:constr type="l" for="ch" forName="image5" refType="w" fact="0.6982"/>
          <dgm:constr type="t" for="ch" forName="image5" refType="h" fact="0.1504"/>
          <dgm:constr type="w" for="ch" forName="image5" refType="w" fact="0.1623"/>
          <dgm:constr type="h" for="ch" forName="image5" refType="h" fact="0.2645"/>
          <dgm:constr type="l" for="ch" forName="image2" refType="w" fact="0.4189"/>
          <dgm:constr type="t" for="ch" forName="image2" refType="h" fact="0.439"/>
          <dgm:constr type="w" for="ch" forName="image2" refType="w" fact="0.1623"/>
          <dgm:constr type="h" for="ch" forName="image2" refType="h" fact="0.2645"/>
          <dgm:constr type="l" for="ch" forName="text4" refType="w" fact="0.4189"/>
          <dgm:constr type="t" for="ch" forName="text4" refType="h" fact="0.1465"/>
          <dgm:constr type="w" for="ch" forName="text4" refType="w" fact="0.1623"/>
          <dgm:constr type="h" for="ch" forName="text4" refType="h" fact="0.2645"/>
          <dgm:constr type="l" for="ch" forName="text2" refType="w" fact="0.2793"/>
          <dgm:constr type="t" for="ch" forName="text2" refType="h" fact="0.2925"/>
          <dgm:constr type="w" for="ch" forName="text2" refType="w" fact="0.1623"/>
          <dgm:constr type="h" for="ch" forName="text2" refType="h" fact="0.2645"/>
          <dgm:constr type="l" for="ch" forName="image3" refType="w" fact="0.2793"/>
          <dgm:constr type="t" for="ch" forName="image3" refType="h" fact="0"/>
          <dgm:constr type="w" for="ch" forName="image3" refType="w" fact="0.1623"/>
          <dgm:constr type="h" for="ch" forName="image3" refType="h" fact="0.2645"/>
          <dgm:constr type="l" for="ch" forName="text1" refType="w" fact="0.1396"/>
          <dgm:constr type="t" for="ch" forName="text1" refType="h" fact="0.4395"/>
          <dgm:constr type="w" for="ch" forName="text1" refType="w" fact="0.1623"/>
          <dgm:constr type="h" for="ch" forName="text1" refType="h" fact="0.2645"/>
          <dgm:constr type="l" for="ch" forName="text3" refType="w" fact="0.1396"/>
          <dgm:constr type="t" for="ch" forName="text3" refType="h" fact="0.1471"/>
          <dgm:constr type="w" for="ch" forName="text3" refType="w" fact="0.1623"/>
          <dgm:constr type="h" for="ch" forName="text3" refType="h" fact="0.2645"/>
          <dgm:constr type="l" for="ch" forName="textaccent1" refType="w" fact="0.1435"/>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3"/>
          <dgm:constr type="h" for="ch" forName="image1" refType="h" fact="0.2645"/>
          <dgm:constr type="l" for="ch" forName="imageaccent1" refType="w" fact="0.1111"/>
          <dgm:constr type="t" for="ch" forName="imageaccent1" refType="h" fact="0.5227"/>
          <dgm:constr type="w" for="ch" forName="imageaccent1" refType="w" fact="0.0189"/>
          <dgm:constr type="h" for="ch" forName="imageaccent1" refType="h" fact="0.031"/>
          <dgm:constr type="l" for="ch" forName="textaccent2" refType="w" fact="0.391"/>
          <dgm:constr type="t" for="ch" forName="textaccent2" refType="h" fact="0.5213"/>
          <dgm:constr type="w" for="ch" forName="textaccent2" refType="w" fact="0.0189"/>
          <dgm:constr type="h" for="ch" forName="textaccent2" refType="h" fact="0.031"/>
          <dgm:constr type="l" for="ch" forName="imageaccent2" refType="w" fact="0.4228"/>
          <dgm:constr type="t" for="ch" forName="imageaccent2" refType="h" fact="0.5567"/>
          <dgm:constr type="w" for="ch" forName="imageaccent2" refType="w" fact="0.0189"/>
          <dgm:constr type="h" for="ch" forName="imageaccent2" refType="h" fact="0.031"/>
          <dgm:constr type="l" for="ch" forName="textaccent3" refType="w" fact="0.2501"/>
          <dgm:constr type="t" for="ch" forName="textaccent3" refType="h" fact="0.1507"/>
          <dgm:constr type="w" for="ch" forName="textaccent3" refType="w" fact="0.0189"/>
          <dgm:constr type="h" for="ch" forName="textaccent3" refType="h" fact="0.031"/>
          <dgm:constr type="l" for="ch" forName="imageaccent3" refType="w" fact="0.2839"/>
          <dgm:constr type="t" for="ch" forName="imageaccent3" refType="h" fact="0.1172"/>
          <dgm:constr type="w" for="ch" forName="imageaccent3" refType="w" fact="0.0189"/>
          <dgm:constr type="h" for="ch" forName="imageaccent3" refType="h" fact="0.031"/>
          <dgm:constr type="l" for="ch" forName="textaccent4" refType="w" fact="0.5593"/>
          <dgm:constr type="t" for="ch" forName="textaccent4" refType="h" fact="0.2637"/>
          <dgm:constr type="w" for="ch" forName="textaccent4" refType="w" fact="0.0189"/>
          <dgm:constr type="h" for="ch" forName="textaccent4" refType="h" fact="0.031"/>
          <dgm:constr type="l" for="ch" forName="imageaccent4" refType="w" fact="0.5901"/>
          <dgm:constr type="t" for="ch" forName="imageaccent4" refType="h" fact="0.3"/>
          <dgm:constr type="w" for="ch" forName="imageaccent4" refType="w" fact="0.0189"/>
          <dgm:constr type="h" for="ch" forName="imageaccent4" refType="h" fact="0.031"/>
          <dgm:constr type="l" for="ch" forName="textaccent5" refType="w" fact="0.6989"/>
          <dgm:constr type="t" for="ch" forName="textaccent5" refType="h" fact="0.1214"/>
          <dgm:constr type="w" for="ch" forName="textaccent5" refType="w" fact="0.0189"/>
          <dgm:constr type="h" for="ch" forName="textaccent5" refType="h" fact="0.031"/>
          <dgm:constr type="l" for="ch" forName="imageaccent5" refType="w" fact="0.7305"/>
          <dgm:constr type="t" for="ch" forName="imageaccent5" refType="h" fact="0.1563"/>
          <dgm:constr type="w" for="ch" forName="imageaccent5" refType="w" fact="0.0189"/>
          <dgm:constr type="h" for="ch" forName="imageaccent5" refType="h" fact="0.031"/>
          <dgm:constr type="l" for="ch" forName="image6" refType="w" fact="0.5585"/>
          <dgm:constr type="t" for="ch" forName="image6" refType="h" fact="0.5872"/>
          <dgm:constr type="w" for="ch" forName="image6" refType="w" fact="0.1623"/>
          <dgm:constr type="h" for="ch" forName="image6" refType="h" fact="0.2645"/>
          <dgm:constr type="l" for="ch" forName="text6" refType="w" fact="0.6982"/>
          <dgm:constr type="t" for="ch" forName="text6" refType="h" fact="0.4424"/>
          <dgm:constr type="w" for="ch" forName="text6" refType="w" fact="0.1623"/>
          <dgm:constr type="h" for="ch" forName="text6" refType="h" fact="0.2645"/>
          <dgm:constr type="l" for="ch" forName="imageaccent6" refType="w" fact="0.7002"/>
          <dgm:constr type="t" for="ch" forName="imageaccent6" refType="h" fact="0.7033"/>
          <dgm:constr type="w" for="ch" forName="imageaccent6" refType="w" fact="0.0189"/>
          <dgm:constr type="h" for="ch" forName="imageaccent6" refType="h" fact="0.031"/>
          <dgm:constr type="l" for="ch" forName="textaccent6" refType="w" fact="0.7303"/>
          <dgm:constr type="t" for="ch" forName="textaccent6" refType="h" fact="0.6741"/>
          <dgm:constr type="w" for="ch" forName="textaccent6" refType="w" fact="0.0189"/>
          <dgm:constr type="h" for="ch" forName="textaccent6" refType="h" fact="0.031"/>
          <dgm:constr type="l" for="ch" forName="text7" refType="w" fact="0.2792"/>
          <dgm:constr type="t" for="ch" forName="text7" refType="h" fact="0.5856"/>
          <dgm:constr type="w" for="ch" forName="text7" refType="w" fact="0.1623"/>
          <dgm:constr type="h" for="ch" forName="text7" refType="h" fact="0.2645"/>
          <dgm:constr type="l" for="ch" forName="image7" refType="w" fact="0.1395"/>
          <dgm:constr type="t" for="ch" forName="image7" refType="h" fact="0.7326"/>
          <dgm:constr type="w" for="ch" forName="image7" refType="w" fact="0.1623"/>
          <dgm:constr type="h" for="ch" forName="image7" refType="h" fact="0.2645"/>
          <dgm:constr type="l" for="ch" forName="imageaccent7" refType="w" fact="0.25"/>
          <dgm:constr type="t" for="ch" forName="imageaccent7" refType="h" fact="0.7363"/>
          <dgm:constr type="w" for="ch" forName="imageaccent7" refType="w" fact="0.0189"/>
          <dgm:constr type="h" for="ch" forName="imageaccent7" refType="h" fact="0.031"/>
          <dgm:constr type="l" for="ch" forName="textaccent7" refType="w" fact="0.2838"/>
          <dgm:constr type="t" for="ch" forName="textaccent7" refType="h" fact="0.7028"/>
          <dgm:constr type="w" for="ch" forName="textaccent7" refType="w" fact="0.0189"/>
          <dgm:constr type="h" for="ch" forName="textaccent7" refType="h" fact="0.031"/>
          <dgm:constr type="l" for="ch" forName="image8" refType="w" fact="0.6975"/>
          <dgm:constr type="t" for="ch" forName="image8" refType="h" fact="0.7355"/>
          <dgm:constr type="w" for="ch" forName="image8" refType="w" fact="0.1623"/>
          <dgm:constr type="h" for="ch" forName="image8" refType="h" fact="0.2645"/>
          <dgm:constr type="l" for="ch" forName="text8" refType="w" fact="0.8371"/>
          <dgm:constr type="t" for="ch" forName="text8" refType="h" fact="0.5906"/>
          <dgm:constr type="w" for="ch" forName="text8" refType="w" fact="0.1623"/>
          <dgm:constr type="h" for="ch" forName="text8" refType="h" fact="0.2645"/>
          <dgm:constr type="l" for="ch" forName="imageaccent8" refType="w" fact="0.8392"/>
          <dgm:constr type="t" for="ch" forName="imageaccent8" refType="h" fact="0.8516"/>
          <dgm:constr type="w" for="ch" forName="imageaccent8" refType="w" fact="0.0189"/>
          <dgm:constr type="h" for="ch" forName="imageaccent8" refType="h" fact="0.031"/>
          <dgm:constr type="l" for="ch" forName="textaccent8" refType="w" fact="0.8693"/>
          <dgm:constr type="t" for="ch" forName="textaccent8" refType="h" fact="0.8223"/>
          <dgm:constr type="w" for="ch" forName="textaccent8" refType="w" fact="0.0189"/>
          <dgm:constr type="h" for="ch" forName="textaccent8" refType="h" fact="0.031"/>
          <dgm:constr type="l" for="ch" forName="text9" refType="w" fact="0.8377"/>
          <dgm:constr type="t" for="ch" forName="text9" refType="h" fact="0.0057"/>
          <dgm:constr type="w" for="ch" forName="text9" refType="w" fact="0.1623"/>
          <dgm:constr type="h" for="ch" forName="text9" refType="h" fact="0.2645"/>
          <dgm:constr type="l" for="ch" forName="textaccent9" refType="w" fact="0.95"/>
          <dgm:constr type="t" for="ch" forName="textaccent9" refType="h" fact="0.2383"/>
          <dgm:constr type="w" for="ch" forName="textaccent9" refType="w" fact="0.0189"/>
          <dgm:constr type="h" for="ch" forName="textaccent9" refType="h" fact="0.031"/>
          <dgm:constr type="l" for="ch" forName="image9" refType="w" fact="0.8377"/>
          <dgm:constr type="t" for="ch" forName="image9" refType="h" fact="0.2977"/>
          <dgm:constr type="w" for="ch" forName="image9" refType="w" fact="0.1623"/>
          <dgm:constr type="h" for="ch" forName="image9" refType="h" fact="0.2645"/>
          <dgm:constr type="l" for="ch" forName="imageaccent9" refType="w" fact="0.95"/>
          <dgm:constr type="t" for="ch" forName="imageaccent9" refType="h" fact="0.2993"/>
          <dgm:constr type="w" for="ch" forName="imageaccent9" refType="w" fact="0.0189"/>
          <dgm:constr type="h" for="ch" forName="imageaccent9" refType="h" fact="0.031"/>
        </dgm:constrLst>
      </dgm:if>
      <dgm:if name="Name11" axis="ch" ptType="node" func="cnt" op="equ" val="10">
        <dgm:alg type="composite">
          <dgm:param type="ar" val="1.6608"/>
        </dgm:alg>
        <dgm:constrLst>
          <dgm:constr type="primFontSz" for="des" ptType="node" op="equ" val="65"/>
          <dgm:constr type="l" for="ch" forName="image4" refType="w" fact="0.5585"/>
          <dgm:constr type="t" for="ch" forName="image4" refType="h" fact="0.2583"/>
          <dgm:constr type="w" for="ch" forName="image4" refType="w" fact="0.1623"/>
          <dgm:constr type="h" for="ch" forName="image4" refType="h" fact="0.2314"/>
          <dgm:constr type="l" for="ch" forName="text5" refType="w" fact="0.5585"/>
          <dgm:constr type="t" for="ch" forName="text5" refType="h" fact="0.0024"/>
          <dgm:constr type="w" for="ch" forName="text5" refType="w" fact="0.1623"/>
          <dgm:constr type="h" for="ch" forName="text5" refType="h" fact="0.2314"/>
          <dgm:constr type="l" for="ch" forName="image5" refType="w" fact="0.6982"/>
          <dgm:constr type="t" for="ch" forName="image5" refType="h" fact="0.1316"/>
          <dgm:constr type="w" for="ch" forName="image5" refType="w" fact="0.1623"/>
          <dgm:constr type="h" for="ch" forName="image5" refType="h" fact="0.2314"/>
          <dgm:constr type="l" for="ch" forName="image2" refType="w" fact="0.4189"/>
          <dgm:constr type="t" for="ch" forName="image2" refType="h" fact="0.384"/>
          <dgm:constr type="w" for="ch" forName="image2" refType="w" fact="0.1623"/>
          <dgm:constr type="h" for="ch" forName="image2" refType="h" fact="0.2314"/>
          <dgm:constr type="l" for="ch" forName="text4" refType="w" fact="0.4189"/>
          <dgm:constr type="t" for="ch" forName="text4" refType="h" fact="0.1282"/>
          <dgm:constr type="w" for="ch" forName="text4" refType="w" fact="0.1623"/>
          <dgm:constr type="h" for="ch" forName="text4" refType="h" fact="0.2314"/>
          <dgm:constr type="l" for="ch" forName="text2" refType="w" fact="0.2793"/>
          <dgm:constr type="t" for="ch" forName="text2" refType="h" fact="0.2558"/>
          <dgm:constr type="w" for="ch" forName="text2" refType="w" fact="0.1623"/>
          <dgm:constr type="h" for="ch" forName="text2" refType="h" fact="0.2314"/>
          <dgm:constr type="l" for="ch" forName="image3" refType="w" fact="0.2793"/>
          <dgm:constr type="t" for="ch" forName="image3" refType="h" fact="0"/>
          <dgm:constr type="w" for="ch" forName="image3" refType="w" fact="0.1623"/>
          <dgm:constr type="h" for="ch" forName="image3" refType="h" fact="0.2314"/>
          <dgm:constr type="l" for="ch" forName="text1" refType="w" fact="0.1396"/>
          <dgm:constr type="t" for="ch" forName="text1" refType="h" fact="0.3845"/>
          <dgm:constr type="w" for="ch" forName="text1" refType="w" fact="0.1623"/>
          <dgm:constr type="h" for="ch" forName="text1" refType="h" fact="0.2314"/>
          <dgm:constr type="l" for="ch" forName="text3" refType="w" fact="0.1396"/>
          <dgm:constr type="t" for="ch" forName="text3" refType="h" fact="0.1286"/>
          <dgm:constr type="w" for="ch" forName="text3" refType="w" fact="0.1623"/>
          <dgm:constr type="h" for="ch" forName="text3" refType="h" fact="0.2314"/>
          <dgm:constr type="l" for="ch" forName="textaccent1" refType="w" fact="0.1435"/>
          <dgm:constr type="t" for="ch" forName="textaccent1" refType="h" fact="0.488"/>
          <dgm:constr type="w" for="ch" forName="textaccent1" refType="w" fact="0.0189"/>
          <dgm:constr type="h" for="ch" forName="textaccent1" refType="h" fact="0.0271"/>
          <dgm:constr type="l" for="ch" forName="image1" refType="w" fact="0"/>
          <dgm:constr type="t" for="ch" forName="image1" refType="h" fact="0.2566"/>
          <dgm:constr type="w" for="ch" forName="image1" refType="w" fact="0.1623"/>
          <dgm:constr type="h" for="ch" forName="image1" refType="h" fact="0.2314"/>
          <dgm:constr type="l" for="ch" forName="imageaccent1" refType="w" fact="0.1111"/>
          <dgm:constr type="t" for="ch" forName="imageaccent1" refType="h" fact="0.4572"/>
          <dgm:constr type="w" for="ch" forName="imageaccent1" refType="w" fact="0.0189"/>
          <dgm:constr type="h" for="ch" forName="imageaccent1" refType="h" fact="0.0271"/>
          <dgm:constr type="l" for="ch" forName="textaccent2" refType="w" fact="0.391"/>
          <dgm:constr type="t" for="ch" forName="textaccent2" refType="h" fact="0.456"/>
          <dgm:constr type="w" for="ch" forName="textaccent2" refType="w" fact="0.0189"/>
          <dgm:constr type="h" for="ch" forName="textaccent2" refType="h" fact="0.0271"/>
          <dgm:constr type="l" for="ch" forName="imageaccent2" refType="w" fact="0.4228"/>
          <dgm:constr type="t" for="ch" forName="imageaccent2" refType="h" fact="0.487"/>
          <dgm:constr type="w" for="ch" forName="imageaccent2" refType="w" fact="0.0189"/>
          <dgm:constr type="h" for="ch" forName="imageaccent2" refType="h" fact="0.0271"/>
          <dgm:constr type="l" for="ch" forName="textaccent3" refType="w" fact="0.2501"/>
          <dgm:constr type="t" for="ch" forName="textaccent3" refType="h" fact="0.1318"/>
          <dgm:constr type="w" for="ch" forName="textaccent3" refType="w" fact="0.0189"/>
          <dgm:constr type="h" for="ch" forName="textaccent3" refType="h" fact="0.0271"/>
          <dgm:constr type="l" for="ch" forName="imageaccent3" refType="w" fact="0.2839"/>
          <dgm:constr type="t" for="ch" forName="imageaccent3" refType="h" fact="0.1025"/>
          <dgm:constr type="w" for="ch" forName="imageaccent3" refType="w" fact="0.0189"/>
          <dgm:constr type="h" for="ch" forName="imageaccent3" refType="h" fact="0.0271"/>
          <dgm:constr type="l" for="ch" forName="textaccent4" refType="w" fact="0.5593"/>
          <dgm:constr type="t" for="ch" forName="textaccent4" refType="h" fact="0.2307"/>
          <dgm:constr type="w" for="ch" forName="textaccent4" refType="w" fact="0.0189"/>
          <dgm:constr type="h" for="ch" forName="textaccent4" refType="h" fact="0.0271"/>
          <dgm:constr type="l" for="ch" forName="imageaccent4" refType="w" fact="0.5901"/>
          <dgm:constr type="t" for="ch" forName="imageaccent4" refType="h" fact="0.2624"/>
          <dgm:constr type="w" for="ch" forName="imageaccent4" refType="w" fact="0.0189"/>
          <dgm:constr type="h" for="ch" forName="imageaccent4" refType="h" fact="0.0271"/>
          <dgm:constr type="l" for="ch" forName="textaccent5" refType="w" fact="0.6989"/>
          <dgm:constr type="t" for="ch" forName="textaccent5" refType="h" fact="0.1062"/>
          <dgm:constr type="w" for="ch" forName="textaccent5" refType="w" fact="0.0189"/>
          <dgm:constr type="h" for="ch" forName="textaccent5" refType="h" fact="0.0271"/>
          <dgm:constr type="l" for="ch" forName="imageaccent5" refType="w" fact="0.7305"/>
          <dgm:constr type="t" for="ch" forName="imageaccent5" refType="h" fact="0.1367"/>
          <dgm:constr type="w" for="ch" forName="imageaccent5" refType="w" fact="0.0189"/>
          <dgm:constr type="h" for="ch" forName="imageaccent5" refType="h" fact="0.0271"/>
          <dgm:constr type="l" for="ch" forName="image6" refType="w" fact="0.5585"/>
          <dgm:constr type="t" for="ch" forName="image6" refType="h" fact="0.5137"/>
          <dgm:constr type="w" for="ch" forName="image6" refType="w" fact="0.1623"/>
          <dgm:constr type="h" for="ch" forName="image6" refType="h" fact="0.2314"/>
          <dgm:constr type="l" for="ch" forName="text6" refType="w" fact="0.6982"/>
          <dgm:constr type="t" for="ch" forName="text6" refType="h" fact="0.387"/>
          <dgm:constr type="w" for="ch" forName="text6" refType="w" fact="0.1623"/>
          <dgm:constr type="h" for="ch" forName="text6" refType="h" fact="0.2314"/>
          <dgm:constr type="l" for="ch" forName="imageaccent6" refType="w" fact="0.7002"/>
          <dgm:constr type="t" for="ch" forName="imageaccent6" refType="h" fact="0.6152"/>
          <dgm:constr type="w" for="ch" forName="imageaccent6" refType="w" fact="0.0189"/>
          <dgm:constr type="h" for="ch" forName="imageaccent6" refType="h" fact="0.0271"/>
          <dgm:constr type="l" for="ch" forName="textaccent6" refType="w" fact="0.7303"/>
          <dgm:constr type="t" for="ch" forName="textaccent6" refType="h" fact="0.5897"/>
          <dgm:constr type="w" for="ch" forName="textaccent6" refType="w" fact="0.0189"/>
          <dgm:constr type="h" for="ch" forName="textaccent6" refType="h" fact="0.0271"/>
          <dgm:constr type="l" for="ch" forName="text7" refType="w" fact="0.2792"/>
          <dgm:constr type="t" for="ch" forName="text7" refType="h" fact="0.5122"/>
          <dgm:constr type="w" for="ch" forName="text7" refType="w" fact="0.1623"/>
          <dgm:constr type="h" for="ch" forName="text7" refType="h" fact="0.2314"/>
          <dgm:constr type="l" for="ch" forName="image7" refType="w" fact="0.1395"/>
          <dgm:constr type="t" for="ch" forName="image7" refType="h" fact="0.6409"/>
          <dgm:constr type="w" for="ch" forName="image7" refType="w" fact="0.1623"/>
          <dgm:constr type="h" for="ch" forName="image7" refType="h" fact="0.2314"/>
          <dgm:constr type="l" for="ch" forName="imageaccent7" refType="w" fact="0.25"/>
          <dgm:constr type="t" for="ch" forName="imageaccent7" refType="h" fact="0.6441"/>
          <dgm:constr type="w" for="ch" forName="imageaccent7" refType="w" fact="0.0189"/>
          <dgm:constr type="h" for="ch" forName="imageaccent7" refType="h" fact="0.0271"/>
          <dgm:constr type="l" for="ch" forName="textaccent7" refType="w" fact="0.2838"/>
          <dgm:constr type="t" for="ch" forName="textaccent7" refType="h" fact="0.6148"/>
          <dgm:constr type="w" for="ch" forName="textaccent7" refType="w" fact="0.0189"/>
          <dgm:constr type="h" for="ch" forName="textaccent7" refType="h" fact="0.0271"/>
          <dgm:constr type="l" for="ch" forName="image8" refType="w" fact="0.6975"/>
          <dgm:constr type="t" for="ch" forName="image8" refType="h" fact="0.6433"/>
          <dgm:constr type="w" for="ch" forName="image8" refType="w" fact="0.1623"/>
          <dgm:constr type="h" for="ch" forName="image8" refType="h" fact="0.2314"/>
          <dgm:constr type="l" for="ch" forName="text8" refType="w" fact="0.8371"/>
          <dgm:constr type="t" for="ch" forName="text8" refType="h" fact="0.5167"/>
          <dgm:constr type="w" for="ch" forName="text8" refType="w" fact="0.1623"/>
          <dgm:constr type="h" for="ch" forName="text8" refType="h" fact="0.2314"/>
          <dgm:constr type="l" for="ch" forName="imageaccent8" refType="w" fact="0.8392"/>
          <dgm:constr type="t" for="ch" forName="imageaccent8" refType="h" fact="0.7449"/>
          <dgm:constr type="w" for="ch" forName="imageaccent8" refType="w" fact="0.0189"/>
          <dgm:constr type="h" for="ch" forName="imageaccent8" refType="h" fact="0.0271"/>
          <dgm:constr type="l" for="ch" forName="textaccent8" refType="w" fact="0.8693"/>
          <dgm:constr type="t" for="ch" forName="textaccent8" refType="h" fact="0.7194"/>
          <dgm:constr type="w" for="ch" forName="textaccent8" refType="w" fact="0.0189"/>
          <dgm:constr type="h" for="ch" forName="textaccent8" refType="h" fact="0.0271"/>
          <dgm:constr type="l" for="ch" forName="text9" refType="w" fact="0.8377"/>
          <dgm:constr type="t" for="ch" forName="text9" refType="h" fact="0.005"/>
          <dgm:constr type="w" for="ch" forName="text9" refType="w" fact="0.1623"/>
          <dgm:constr type="h" for="ch" forName="text9" refType="h" fact="0.2314"/>
          <dgm:constr type="l" for="ch" forName="textaccent9" refType="w" fact="0.95"/>
          <dgm:constr type="t" for="ch" forName="textaccent9" refType="h" fact="0.2084"/>
          <dgm:constr type="w" for="ch" forName="textaccent9" refType="w" fact="0.0189"/>
          <dgm:constr type="h" for="ch" forName="textaccent9" refType="h" fact="0.0271"/>
          <dgm:constr type="l" for="ch" forName="image9" refType="w" fact="0.8377"/>
          <dgm:constr type="t" for="ch" forName="image9" refType="h" fact="0.2604"/>
          <dgm:constr type="w" for="ch" forName="image9" refType="w" fact="0.1623"/>
          <dgm:constr type="h" for="ch" forName="image9" refType="h" fact="0.2314"/>
          <dgm:constr type="l" for="ch" forName="imageaccent9" refType="w" fact="0.95"/>
          <dgm:constr type="t" for="ch" forName="imageaccent9" refType="h" fact="0.2618"/>
          <dgm:constr type="w" for="ch" forName="imageaccent9" refType="w" fact="0.0189"/>
          <dgm:constr type="h" for="ch" forName="imageaccent9" refType="h" fact="0.0271"/>
          <dgm:constr type="l" for="ch" forName="image10" refType="w" fact="0.2786"/>
          <dgm:constr type="t" for="ch" forName="image10" refType="h" fact="0.7686"/>
          <dgm:constr type="w" for="ch" forName="image10" refType="w" fact="0.1623"/>
          <dgm:constr type="h" for="ch" forName="image10" refType="h" fact="0.2314"/>
          <dgm:constr type="l" for="ch" forName="text10" refType="w" fact="0.4183"/>
          <dgm:constr type="t" for="ch" forName="text10" refType="h" fact="0.6419"/>
          <dgm:constr type="w" for="ch" forName="text10" refType="w" fact="0.1623"/>
          <dgm:constr type="h" for="ch" forName="text10" refType="h" fact="0.2314"/>
          <dgm:constr type="l" for="ch" forName="imageaccent10" refType="w" fact="0.4203"/>
          <dgm:constr type="t" for="ch" forName="imageaccent10" refType="h" fact="0.8701"/>
          <dgm:constr type="w" for="ch" forName="imageaccent10" refType="w" fact="0.0189"/>
          <dgm:constr type="h" for="ch" forName="imageaccent10" refType="h" fact="0.0271"/>
          <dgm:constr type="l" for="ch" forName="textaccent10" refType="w" fact="0.4504"/>
          <dgm:constr type="t" for="ch" forName="textaccent10" refType="h" fact="0.8446"/>
          <dgm:constr type="w" for="ch" forName="textaccent10" refType="w" fact="0.0189"/>
          <dgm:constr type="h" for="ch" forName="textaccent10" refType="h" fact="0.0271"/>
        </dgm:constrLst>
      </dgm:if>
      <dgm:if name="Name12" axis="ch" ptType="node" func="cnt" op="equ" val="11">
        <dgm:alg type="composite">
          <dgm:param type="ar" val="1.4704"/>
        </dgm:alg>
        <dgm:constrLst>
          <dgm:constr type="primFontSz" for="des" ptType="node" op="equ" val="65"/>
          <dgm:constr type="l" for="ch" forName="image4" refType="w" fact="0.5585"/>
          <dgm:constr type="t" for="ch" forName="image4" refType="h" fact="0.2287"/>
          <dgm:constr type="w" for="ch" forName="image4" refType="w" fact="0.1623"/>
          <dgm:constr type="h" for="ch" forName="image4" refType="h" fact="0.2049"/>
          <dgm:constr type="l" for="ch" forName="text5" refType="w" fact="0.5585"/>
          <dgm:constr type="t" for="ch" forName="text5" refType="h" fact="0.0022"/>
          <dgm:constr type="w" for="ch" forName="text5" refType="w" fact="0.1623"/>
          <dgm:constr type="h" for="ch" forName="text5" refType="h" fact="0.2049"/>
          <dgm:constr type="l" for="ch" forName="image5" refType="w" fact="0.6982"/>
          <dgm:constr type="t" for="ch" forName="image5" refType="h" fact="0.1165"/>
          <dgm:constr type="w" for="ch" forName="image5" refType="w" fact="0.1623"/>
          <dgm:constr type="h" for="ch" forName="image5" refType="h" fact="0.2049"/>
          <dgm:constr type="l" for="ch" forName="image2" refType="w" fact="0.4189"/>
          <dgm:constr type="t" for="ch" forName="image2" refType="h" fact="0.34"/>
          <dgm:constr type="w" for="ch" forName="image2" refType="w" fact="0.1623"/>
          <dgm:constr type="h" for="ch" forName="image2" refType="h" fact="0.2049"/>
          <dgm:constr type="l" for="ch" forName="text4" refType="w" fact="0.4189"/>
          <dgm:constr type="t" for="ch" forName="text4" refType="h" fact="0.1135"/>
          <dgm:constr type="w" for="ch" forName="text4" refType="w" fact="0.1623"/>
          <dgm:constr type="h" for="ch" forName="text4" refType="h" fact="0.2049"/>
          <dgm:constr type="l" for="ch" forName="text2" refType="w" fact="0.2793"/>
          <dgm:constr type="t" for="ch" forName="text2" refType="h" fact="0.2265"/>
          <dgm:constr type="w" for="ch" forName="text2" refType="w" fact="0.1623"/>
          <dgm:constr type="h" for="ch" forName="text2" refType="h" fact="0.2049"/>
          <dgm:constr type="l" for="ch" forName="image3" refType="w" fact="0.2793"/>
          <dgm:constr type="t" for="ch" forName="image3" refType="h" fact="0"/>
          <dgm:constr type="w" for="ch" forName="image3" refType="w" fact="0.1623"/>
          <dgm:constr type="h" for="ch" forName="image3" refType="h" fact="0.2049"/>
          <dgm:constr type="l" for="ch" forName="text1" refType="w" fact="0.1396"/>
          <dgm:constr type="t" for="ch" forName="text1" refType="h" fact="0.3404"/>
          <dgm:constr type="w" for="ch" forName="text1" refType="w" fact="0.1623"/>
          <dgm:constr type="h" for="ch" forName="text1" refType="h" fact="0.2049"/>
          <dgm:constr type="l" for="ch" forName="text3" refType="w" fact="0.1396"/>
          <dgm:constr type="t" for="ch" forName="text3" refType="h" fact="0.1139"/>
          <dgm:constr type="w" for="ch" forName="text3" refType="w" fact="0.1623"/>
          <dgm:constr type="h" for="ch" forName="text3" refType="h" fact="0.2049"/>
          <dgm:constr type="l" for="ch" forName="textaccent1" refType="w" fact="0.1435"/>
          <dgm:constr type="t" for="ch" forName="textaccent1" refType="h" fact="0.432"/>
          <dgm:constr type="w" for="ch" forName="textaccent1" refType="w" fact="0.0189"/>
          <dgm:constr type="h" for="ch" forName="textaccent1" refType="h" fact="0.024"/>
          <dgm:constr type="l" for="ch" forName="image1" refType="w" fact="0"/>
          <dgm:constr type="t" for="ch" forName="image1" refType="h" fact="0.2272"/>
          <dgm:constr type="w" for="ch" forName="image1" refType="w" fact="0.1623"/>
          <dgm:constr type="h" for="ch" forName="image1" refType="h" fact="0.2049"/>
          <dgm:constr type="l" for="ch" forName="imageaccent1" refType="w" fact="0.1111"/>
          <dgm:constr type="t" for="ch" forName="imageaccent1" refType="h" fact="0.4048"/>
          <dgm:constr type="w" for="ch" forName="imageaccent1" refType="w" fact="0.0189"/>
          <dgm:constr type="h" for="ch" forName="imageaccent1" refType="h" fact="0.024"/>
          <dgm:constr type="l" for="ch" forName="textaccent2" refType="w" fact="0.391"/>
          <dgm:constr type="t" for="ch" forName="textaccent2" refType="h" fact="0.4038"/>
          <dgm:constr type="w" for="ch" forName="textaccent2" refType="w" fact="0.0189"/>
          <dgm:constr type="h" for="ch" forName="textaccent2" refType="h" fact="0.024"/>
          <dgm:constr type="l" for="ch" forName="imageaccent2" refType="w" fact="0.4228"/>
          <dgm:constr type="t" for="ch" forName="imageaccent2" refType="h" fact="0.4312"/>
          <dgm:constr type="w" for="ch" forName="imageaccent2" refType="w" fact="0.0189"/>
          <dgm:constr type="h" for="ch" forName="imageaccent2" refType="h" fact="0.024"/>
          <dgm:constr type="l" for="ch" forName="textaccent3" refType="w" fact="0.2501"/>
          <dgm:constr type="t" for="ch" forName="textaccent3" refType="h" fact="0.1167"/>
          <dgm:constr type="w" for="ch" forName="textaccent3" refType="w" fact="0.0189"/>
          <dgm:constr type="h" for="ch" forName="textaccent3" refType="h" fact="0.024"/>
          <dgm:constr type="l" for="ch" forName="imageaccent3" refType="w" fact="0.2839"/>
          <dgm:constr type="t" for="ch" forName="imageaccent3" refType="h" fact="0.0908"/>
          <dgm:constr type="w" for="ch" forName="imageaccent3" refType="w" fact="0.0189"/>
          <dgm:constr type="h" for="ch" forName="imageaccent3" refType="h" fact="0.024"/>
          <dgm:constr type="l" for="ch" forName="textaccent4" refType="w" fact="0.5593"/>
          <dgm:constr type="t" for="ch" forName="textaccent4" refType="h" fact="0.2042"/>
          <dgm:constr type="w" for="ch" forName="textaccent4" refType="w" fact="0.0189"/>
          <dgm:constr type="h" for="ch" forName="textaccent4" refType="h" fact="0.024"/>
          <dgm:constr type="l" for="ch" forName="imageaccent4" refType="w" fact="0.5901"/>
          <dgm:constr type="t" for="ch" forName="imageaccent4" refType="h" fact="0.2323"/>
          <dgm:constr type="w" for="ch" forName="imageaccent4" refType="w" fact="0.0189"/>
          <dgm:constr type="h" for="ch" forName="imageaccent4" refType="h" fact="0.024"/>
          <dgm:constr type="l" for="ch" forName="textaccent5" refType="w" fact="0.6989"/>
          <dgm:constr type="t" for="ch" forName="textaccent5" refType="h" fact="0.094"/>
          <dgm:constr type="w" for="ch" forName="textaccent5" refType="w" fact="0.0189"/>
          <dgm:constr type="h" for="ch" forName="textaccent5" refType="h" fact="0.024"/>
          <dgm:constr type="l" for="ch" forName="imageaccent5" refType="w" fact="0.7305"/>
          <dgm:constr type="t" for="ch" forName="imageaccent5" refType="h" fact="0.121"/>
          <dgm:constr type="w" for="ch" forName="imageaccent5" refType="w" fact="0.0189"/>
          <dgm:constr type="h" for="ch" forName="imageaccent5" refType="h" fact="0.024"/>
          <dgm:constr type="l" for="ch" forName="image6" refType="w" fact="0.5585"/>
          <dgm:constr type="t" for="ch" forName="image6" refType="h" fact="0.4548"/>
          <dgm:constr type="w" for="ch" forName="image6" refType="w" fact="0.1623"/>
          <dgm:constr type="h" for="ch" forName="image6" refType="h" fact="0.2049"/>
          <dgm:constr type="l" for="ch" forName="text6" refType="w" fact="0.6982"/>
          <dgm:constr type="t" for="ch" forName="text6" refType="h" fact="0.3426"/>
          <dgm:constr type="w" for="ch" forName="text6" refType="w" fact="0.1623"/>
          <dgm:constr type="h" for="ch" forName="text6" refType="h" fact="0.2049"/>
          <dgm:constr type="l" for="ch" forName="imageaccent6" refType="w" fact="0.7002"/>
          <dgm:constr type="t" for="ch" forName="imageaccent6" refType="h" fact="0.5447"/>
          <dgm:constr type="w" for="ch" forName="imageaccent6" refType="w" fact="0.0189"/>
          <dgm:constr type="h" for="ch" forName="imageaccent6" refType="h" fact="0.024"/>
          <dgm:constr type="l" for="ch" forName="textaccent6" refType="w" fact="0.7303"/>
          <dgm:constr type="t" for="ch" forName="textaccent6" refType="h" fact="0.5221"/>
          <dgm:constr type="w" for="ch" forName="textaccent6" refType="w" fact="0.0189"/>
          <dgm:constr type="h" for="ch" forName="textaccent6" refType="h" fact="0.024"/>
          <dgm:constr type="l" for="ch" forName="text7" refType="w" fact="0.2792"/>
          <dgm:constr type="t" for="ch" forName="text7" refType="h" fact="0.4535"/>
          <dgm:constr type="w" for="ch" forName="text7" refType="w" fact="0.1623"/>
          <dgm:constr type="h" for="ch" forName="text7" refType="h" fact="0.2049"/>
          <dgm:constr type="l" for="ch" forName="image7" refType="w" fact="0.1395"/>
          <dgm:constr type="t" for="ch" forName="image7" refType="h" fact="0.5674"/>
          <dgm:constr type="w" for="ch" forName="image7" refType="w" fact="0.1623"/>
          <dgm:constr type="h" for="ch" forName="image7" refType="h" fact="0.2049"/>
          <dgm:constr type="l" for="ch" forName="imageaccent7" refType="w" fact="0.25"/>
          <dgm:constr type="t" for="ch" forName="imageaccent7" refType="h" fact="0.5703"/>
          <dgm:constr type="w" for="ch" forName="imageaccent7" refType="w" fact="0.0189"/>
          <dgm:constr type="h" for="ch" forName="imageaccent7" refType="h" fact="0.024"/>
          <dgm:constr type="l" for="ch" forName="textaccent7" refType="w" fact="0.2838"/>
          <dgm:constr type="t" for="ch" forName="textaccent7" refType="h" fact="0.5443"/>
          <dgm:constr type="w" for="ch" forName="textaccent7" refType="w" fact="0.0189"/>
          <dgm:constr type="h" for="ch" forName="textaccent7" refType="h" fact="0.024"/>
          <dgm:constr type="l" for="ch" forName="image8" refType="w" fact="0.6975"/>
          <dgm:constr type="t" for="ch" forName="image8" refType="h" fact="0.5696"/>
          <dgm:constr type="w" for="ch" forName="image8" refType="w" fact="0.1623"/>
          <dgm:constr type="h" for="ch" forName="image8" refType="h" fact="0.2049"/>
          <dgm:constr type="l" for="ch" forName="text8" refType="w" fact="0.8371"/>
          <dgm:constr type="t" for="ch" forName="text8" refType="h" fact="0.4574"/>
          <dgm:constr type="w" for="ch" forName="text8" refType="w" fact="0.1623"/>
          <dgm:constr type="h" for="ch" forName="text8" refType="h" fact="0.2049"/>
          <dgm:constr type="l" for="ch" forName="imageaccent8" refType="w" fact="0.8392"/>
          <dgm:constr type="t" for="ch" forName="imageaccent8" refType="h" fact="0.6595"/>
          <dgm:constr type="w" for="ch" forName="imageaccent8" refType="w" fact="0.0189"/>
          <dgm:constr type="h" for="ch" forName="imageaccent8" refType="h" fact="0.024"/>
          <dgm:constr type="l" for="ch" forName="textaccent8" refType="w" fact="0.8693"/>
          <dgm:constr type="t" for="ch" forName="textaccent8" refType="h" fact="0.6369"/>
          <dgm:constr type="w" for="ch" forName="textaccent8" refType="w" fact="0.0189"/>
          <dgm:constr type="h" for="ch" forName="textaccent8" refType="h" fact="0.024"/>
          <dgm:constr type="l" for="ch" forName="text9" refType="w" fact="0.8377"/>
          <dgm:constr type="t" for="ch" forName="text9" refType="h" fact="0.0044"/>
          <dgm:constr type="w" for="ch" forName="text9" refType="w" fact="0.1623"/>
          <dgm:constr type="h" for="ch" forName="text9" refType="h" fact="0.2049"/>
          <dgm:constr type="l" for="ch" forName="textaccent9" refType="w" fact="0.95"/>
          <dgm:constr type="t" for="ch" forName="textaccent9" refType="h" fact="0.1846"/>
          <dgm:constr type="w" for="ch" forName="textaccent9" refType="w" fact="0.0189"/>
          <dgm:constr type="h" for="ch" forName="textaccent9" refType="h" fact="0.024"/>
          <dgm:constr type="l" for="ch" forName="image9" refType="w" fact="0.8377"/>
          <dgm:constr type="t" for="ch" forName="image9" refType="h" fact="0.2306"/>
          <dgm:constr type="w" for="ch" forName="image9" refType="w" fact="0.1623"/>
          <dgm:constr type="h" for="ch" forName="image9" refType="h" fact="0.2049"/>
          <dgm:constr type="l" for="ch" forName="imageaccent9" refType="w" fact="0.95"/>
          <dgm:constr type="t" for="ch" forName="imageaccent9" refType="h" fact="0.2318"/>
          <dgm:constr type="w" for="ch" forName="imageaccent9" refType="w" fact="0.0189"/>
          <dgm:constr type="h" for="ch" forName="imageaccent9" refType="h" fact="0.024"/>
          <dgm:constr type="l" for="ch" forName="image10" refType="w" fact="0.2786"/>
          <dgm:constr type="t" for="ch" forName="image10" refType="h" fact="0.6805"/>
          <dgm:constr type="w" for="ch" forName="image10" refType="w" fact="0.1623"/>
          <dgm:constr type="h" for="ch" forName="image10" refType="h" fact="0.2049"/>
          <dgm:constr type="l" for="ch" forName="text10" refType="w" fact="0.4183"/>
          <dgm:constr type="t" for="ch" forName="text10" refType="h" fact="0.5683"/>
          <dgm:constr type="w" for="ch" forName="text10" refType="w" fact="0.1623"/>
          <dgm:constr type="h" for="ch" forName="text10" refType="h" fact="0.2049"/>
          <dgm:constr type="l" for="ch" forName="imageaccent10" refType="w" fact="0.4203"/>
          <dgm:constr type="t" for="ch" forName="imageaccent10" refType="h" fact="0.7704"/>
          <dgm:constr type="w" for="ch" forName="imageaccent10" refType="w" fact="0.0189"/>
          <dgm:constr type="h" for="ch" forName="imageaccent10" refType="h" fact="0.024"/>
          <dgm:constr type="l" for="ch" forName="textaccent10" refType="w" fact="0.4504"/>
          <dgm:constr type="t" for="ch" forName="textaccent10" refType="h" fact="0.7478"/>
          <dgm:constr type="w" for="ch" forName="textaccent10" refType="w" fact="0.0189"/>
          <dgm:constr type="h" for="ch" forName="textaccent10" refType="h" fact="0.024"/>
          <dgm:constr type="l" for="ch" forName="text11" refType="w" fact="0.6971"/>
          <dgm:constr type="t" for="ch" forName="text11" refType="h" fact="0.7951"/>
          <dgm:constr type="w" for="ch" forName="text11" refType="w" fact="0.1623"/>
          <dgm:constr type="h" for="ch" forName="text11" refType="h" fact="0.2049"/>
          <dgm:constr type="l" for="ch" forName="image11" refType="w" fact="0.5575"/>
          <dgm:constr type="t" for="ch" forName="image11" refType="h" fact="0.6816"/>
          <dgm:constr type="w" for="ch" forName="image11" refType="w" fact="0.1623"/>
          <dgm:constr type="h" for="ch" forName="image11" refType="h" fact="0.2049"/>
          <dgm:constr type="l" for="ch" forName="imageaccent11" refType="w" fact="0.6692"/>
          <dgm:constr type="t" for="ch" forName="imageaccent11" refType="h" fact="0.8589"/>
          <dgm:constr type="w" for="ch" forName="imageaccent11" refType="w" fact="0.0189"/>
          <dgm:constr type="h" for="ch" forName="imageaccent11" refType="h" fact="0.024"/>
          <dgm:constr type="l" for="ch" forName="textaccent11" refType="w" fact="0.701"/>
          <dgm:constr type="t" for="ch" forName="textaccent11" refType="h" fact="0.8863"/>
          <dgm:constr type="w" for="ch" forName="textaccent11" refType="w" fact="0.0189"/>
          <dgm:constr type="h" for="ch" forName="textaccent11" refType="h" fact="0.024"/>
        </dgm:constrLst>
      </dgm:if>
      <dgm:else name="Name13">
        <dgm:alg type="composite">
          <dgm:param type="ar" val="1.675"/>
        </dgm:alg>
        <dgm:constrLst>
          <dgm:constr type="primFontSz" for="des" ptType="node" op="equ" val="65"/>
          <dgm:constr type="l" for="ch" forName="image4" refType="w" fact="0.4903"/>
          <dgm:constr type="t" for="ch" forName="image4" refType="h" fact="0.2287"/>
          <dgm:constr type="w" for="ch" forName="image4" refType="w" fact="0.1425"/>
          <dgm:constr type="h" for="ch" forName="image4" refType="h" fact="0.2049"/>
          <dgm:constr type="l" for="ch" forName="text5" refType="w" fact="0.4903"/>
          <dgm:constr type="t" for="ch" forName="text5" refType="h" fact="0.0022"/>
          <dgm:constr type="w" for="ch" forName="text5" refType="w" fact="0.1425"/>
          <dgm:constr type="h" for="ch" forName="text5" refType="h" fact="0.2049"/>
          <dgm:constr type="l" for="ch" forName="image5" refType="w" fact="0.6129"/>
          <dgm:constr type="t" for="ch" forName="image5" refType="h" fact="0.1165"/>
          <dgm:constr type="w" for="ch" forName="image5" refType="w" fact="0.1425"/>
          <dgm:constr type="h" for="ch" forName="image5" refType="h" fact="0.2049"/>
          <dgm:constr type="l" for="ch" forName="image2" refType="w" fact="0.3677"/>
          <dgm:constr type="t" for="ch" forName="image2" refType="h" fact="0.34"/>
          <dgm:constr type="w" for="ch" forName="image2" refType="w" fact="0.1425"/>
          <dgm:constr type="h" for="ch" forName="image2" refType="h" fact="0.2049"/>
          <dgm:constr type="l" for="ch" forName="text4" refType="w" fact="0.3677"/>
          <dgm:constr type="t" for="ch" forName="text4" refType="h" fact="0.1135"/>
          <dgm:constr type="w" for="ch" forName="text4" refType="w" fact="0.1425"/>
          <dgm:constr type="h" for="ch" forName="text4" refType="h" fact="0.2049"/>
          <dgm:constr type="l" for="ch" forName="text2" refType="w" fact="0.2452"/>
          <dgm:constr type="t" for="ch" forName="text2" refType="h" fact="0.2265"/>
          <dgm:constr type="w" for="ch" forName="text2" refType="w" fact="0.1425"/>
          <dgm:constr type="h" for="ch" forName="text2" refType="h" fact="0.2049"/>
          <dgm:constr type="l" for="ch" forName="image3" refType="w" fact="0.2452"/>
          <dgm:constr type="t" for="ch" forName="image3" refType="h" fact="0"/>
          <dgm:constr type="w" for="ch" forName="image3" refType="w" fact="0.1425"/>
          <dgm:constr type="h" for="ch" forName="image3" refType="h" fact="0.2049"/>
          <dgm:constr type="l" for="ch" forName="text1" refType="w" fact="0.1226"/>
          <dgm:constr type="t" for="ch" forName="text1" refType="h" fact="0.3404"/>
          <dgm:constr type="w" for="ch" forName="text1" refType="w" fact="0.1425"/>
          <dgm:constr type="h" for="ch" forName="text1" refType="h" fact="0.2049"/>
          <dgm:constr type="l" for="ch" forName="text3" refType="w" fact="0.1226"/>
          <dgm:constr type="t" for="ch" forName="text3" refType="h" fact="0.1139"/>
          <dgm:constr type="w" for="ch" forName="text3" refType="w" fact="0.1425"/>
          <dgm:constr type="h" for="ch" forName="text3" refType="h" fact="0.2049"/>
          <dgm:constr type="l" for="ch" forName="textaccent1" refType="w" fact="0.126"/>
          <dgm:constr type="t" for="ch" forName="textaccent1" refType="h" fact="0.432"/>
          <dgm:constr type="w" for="ch" forName="textaccent1" refType="w" fact="0.0166"/>
          <dgm:constr type="h" for="ch" forName="textaccent1" refType="h" fact="0.024"/>
          <dgm:constr type="l" for="ch" forName="image1" refType="w" fact="0"/>
          <dgm:constr type="t" for="ch" forName="image1" refType="h" fact="0.2272"/>
          <dgm:constr type="w" for="ch" forName="image1" refType="w" fact="0.1425"/>
          <dgm:constr type="h" for="ch" forName="image1" refType="h" fact="0.2049"/>
          <dgm:constr type="l" for="ch" forName="imageaccent1" refType="w" fact="0.0976"/>
          <dgm:constr type="t" for="ch" forName="imageaccent1" refType="h" fact="0.4048"/>
          <dgm:constr type="w" for="ch" forName="imageaccent1" refType="w" fact="0.0166"/>
          <dgm:constr type="h" for="ch" forName="imageaccent1" refType="h" fact="0.024"/>
          <dgm:constr type="l" for="ch" forName="textaccent2" refType="w" fact="0.3432"/>
          <dgm:constr type="t" for="ch" forName="textaccent2" refType="h" fact="0.4038"/>
          <dgm:constr type="w" for="ch" forName="textaccent2" refType="w" fact="0.0166"/>
          <dgm:constr type="h" for="ch" forName="textaccent2" refType="h" fact="0.024"/>
          <dgm:constr type="l" for="ch" forName="imageaccent2" refType="w" fact="0.3712"/>
          <dgm:constr type="t" for="ch" forName="imageaccent2" refType="h" fact="0.4312"/>
          <dgm:constr type="w" for="ch" forName="imageaccent2" refType="w" fact="0.0166"/>
          <dgm:constr type="h" for="ch" forName="imageaccent2" refType="h" fact="0.024"/>
          <dgm:constr type="l" for="ch" forName="textaccent3" refType="w" fact="0.2196"/>
          <dgm:constr type="t" for="ch" forName="textaccent3" refType="h" fact="0.1167"/>
          <dgm:constr type="w" for="ch" forName="textaccent3" refType="w" fact="0.0166"/>
          <dgm:constr type="h" for="ch" forName="textaccent3" refType="h" fact="0.024"/>
          <dgm:constr type="l" for="ch" forName="imageaccent3" refType="w" fact="0.2492"/>
          <dgm:constr type="t" for="ch" forName="imageaccent3" refType="h" fact="0.0908"/>
          <dgm:constr type="w" for="ch" forName="imageaccent3" refType="w" fact="0.0166"/>
          <dgm:constr type="h" for="ch" forName="imageaccent3" refType="h" fact="0.024"/>
          <dgm:constr type="l" for="ch" forName="textaccent4" refType="w" fact="0.491"/>
          <dgm:constr type="t" for="ch" forName="textaccent4" refType="h" fact="0.2042"/>
          <dgm:constr type="w" for="ch" forName="textaccent4" refType="w" fact="0.0166"/>
          <dgm:constr type="h" for="ch" forName="textaccent4" refType="h" fact="0.024"/>
          <dgm:constr type="l" for="ch" forName="imageaccent4" refType="w" fact="0.5181"/>
          <dgm:constr type="t" for="ch" forName="imageaccent4" refType="h" fact="0.2323"/>
          <dgm:constr type="w" for="ch" forName="imageaccent4" refType="w" fact="0.0166"/>
          <dgm:constr type="h" for="ch" forName="imageaccent4" refType="h" fact="0.024"/>
          <dgm:constr type="l" for="ch" forName="textaccent5" refType="w" fact="0.6136"/>
          <dgm:constr type="t" for="ch" forName="textaccent5" refType="h" fact="0.094"/>
          <dgm:constr type="w" for="ch" forName="textaccent5" refType="w" fact="0.0166"/>
          <dgm:constr type="h" for="ch" forName="textaccent5" refType="h" fact="0.024"/>
          <dgm:constr type="l" for="ch" forName="imageaccent5" refType="w" fact="0.6413"/>
          <dgm:constr type="t" for="ch" forName="imageaccent5" refType="h" fact="0.121"/>
          <dgm:constr type="w" for="ch" forName="imageaccent5" refType="w" fact="0.0166"/>
          <dgm:constr type="h" for="ch" forName="imageaccent5" refType="h" fact="0.024"/>
          <dgm:constr type="l" for="ch" forName="image6" refType="w" fact="0.4903"/>
          <dgm:constr type="t" for="ch" forName="image6" refType="h" fact="0.4548"/>
          <dgm:constr type="w" for="ch" forName="image6" refType="w" fact="0.1425"/>
          <dgm:constr type="h" for="ch" forName="image6" refType="h" fact="0.2049"/>
          <dgm:constr type="l" for="ch" forName="text6" refType="w" fact="0.6129"/>
          <dgm:constr type="t" for="ch" forName="text6" refType="h" fact="0.3426"/>
          <dgm:constr type="w" for="ch" forName="text6" refType="w" fact="0.1425"/>
          <dgm:constr type="h" for="ch" forName="text6" refType="h" fact="0.2049"/>
          <dgm:constr type="l" for="ch" forName="imageaccent6" refType="w" fact="0.6147"/>
          <dgm:constr type="t" for="ch" forName="imageaccent6" refType="h" fact="0.5447"/>
          <dgm:constr type="w" for="ch" forName="imageaccent6" refType="w" fact="0.0166"/>
          <dgm:constr type="h" for="ch" forName="imageaccent6" refType="h" fact="0.024"/>
          <dgm:constr type="l" for="ch" forName="textaccent6" refType="w" fact="0.6411"/>
          <dgm:constr type="t" for="ch" forName="textaccent6" refType="h" fact="0.5221"/>
          <dgm:constr type="w" for="ch" forName="textaccent6" refType="w" fact="0.0166"/>
          <dgm:constr type="h" for="ch" forName="textaccent6" refType="h" fact="0.024"/>
          <dgm:constr type="l" for="ch" forName="text7" refType="w" fact="0.2451"/>
          <dgm:constr type="t" for="ch" forName="text7" refType="h" fact="0.4535"/>
          <dgm:constr type="w" for="ch" forName="text7" refType="w" fact="0.1425"/>
          <dgm:constr type="h" for="ch" forName="text7" refType="h" fact="0.2049"/>
          <dgm:constr type="l" for="ch" forName="image7" refType="w" fact="0.1225"/>
          <dgm:constr type="t" for="ch" forName="image7" refType="h" fact="0.5674"/>
          <dgm:constr type="w" for="ch" forName="image7" refType="w" fact="0.1425"/>
          <dgm:constr type="h" for="ch" forName="image7" refType="h" fact="0.2049"/>
          <dgm:constr type="l" for="ch" forName="imageaccent7" refType="w" fact="0.2195"/>
          <dgm:constr type="t" for="ch" forName="imageaccent7" refType="h" fact="0.5703"/>
          <dgm:constr type="w" for="ch" forName="imageaccent7" refType="w" fact="0.0166"/>
          <dgm:constr type="h" for="ch" forName="imageaccent7" refType="h" fact="0.024"/>
          <dgm:constr type="l" for="ch" forName="textaccent7" refType="w" fact="0.2491"/>
          <dgm:constr type="t" for="ch" forName="textaccent7" refType="h" fact="0.5443"/>
          <dgm:constr type="w" for="ch" forName="textaccent7" refType="w" fact="0.0166"/>
          <dgm:constr type="h" for="ch" forName="textaccent7" refType="h" fact="0.024"/>
          <dgm:constr type="l" for="ch" forName="image8" refType="w" fact="0.6123"/>
          <dgm:constr type="t" for="ch" forName="image8" refType="h" fact="0.5696"/>
          <dgm:constr type="w" for="ch" forName="image8" refType="w" fact="0.1425"/>
          <dgm:constr type="h" for="ch" forName="image8" refType="h" fact="0.2049"/>
          <dgm:constr type="l" for="ch" forName="text8" refType="w" fact="0.7349"/>
          <dgm:constr type="t" for="ch" forName="text8" refType="h" fact="0.4574"/>
          <dgm:constr type="w" for="ch" forName="text8" refType="w" fact="0.1425"/>
          <dgm:constr type="h" for="ch" forName="text8" refType="h" fact="0.2049"/>
          <dgm:constr type="l" for="ch" forName="imageaccent8" refType="w" fact="0.7367"/>
          <dgm:constr type="t" for="ch" forName="imageaccent8" refType="h" fact="0.6595"/>
          <dgm:constr type="w" for="ch" forName="imageaccent8" refType="w" fact="0.0166"/>
          <dgm:constr type="h" for="ch" forName="imageaccent8" refType="h" fact="0.024"/>
          <dgm:constr type="l" for="ch" forName="textaccent8" refType="w" fact="0.7631"/>
          <dgm:constr type="t" for="ch" forName="textaccent8" refType="h" fact="0.6369"/>
          <dgm:constr type="w" for="ch" forName="textaccent8" refType="w" fact="0.0166"/>
          <dgm:constr type="h" for="ch" forName="textaccent8" refType="h" fact="0.024"/>
          <dgm:constr type="l" for="ch" forName="text9" refType="w" fact="0.7354"/>
          <dgm:constr type="t" for="ch" forName="text9" refType="h" fact="0.0044"/>
          <dgm:constr type="w" for="ch" forName="text9" refType="w" fact="0.1425"/>
          <dgm:constr type="h" for="ch" forName="text9" refType="h" fact="0.2049"/>
          <dgm:constr type="l" for="ch" forName="textaccent9" refType="w" fact="0.8339"/>
          <dgm:constr type="t" for="ch" forName="textaccent9" refType="h" fact="0.1846"/>
          <dgm:constr type="w" for="ch" forName="textaccent9" refType="w" fact="0.0166"/>
          <dgm:constr type="h" for="ch" forName="textaccent9" refType="h" fact="0.024"/>
          <dgm:constr type="l" for="ch" forName="image9" refType="w" fact="0.7354"/>
          <dgm:constr type="t" for="ch" forName="image9" refType="h" fact="0.2306"/>
          <dgm:constr type="w" for="ch" forName="image9" refType="w" fact="0.1425"/>
          <dgm:constr type="h" for="ch" forName="image9" refType="h" fact="0.2049"/>
          <dgm:constr type="l" for="ch" forName="imageaccent9" refType="w" fact="0.8339"/>
          <dgm:constr type="t" for="ch" forName="imageaccent9" refType="h" fact="0.2318"/>
          <dgm:constr type="w" for="ch" forName="imageaccent9" refType="w" fact="0.0166"/>
          <dgm:constr type="h" for="ch" forName="imageaccent9" refType="h" fact="0.024"/>
          <dgm:constr type="l" for="ch" forName="image10" refType="w" fact="0.2446"/>
          <dgm:constr type="t" for="ch" forName="image10" refType="h" fact="0.6805"/>
          <dgm:constr type="w" for="ch" forName="image10" refType="w" fact="0.1425"/>
          <dgm:constr type="h" for="ch" forName="image10" refType="h" fact="0.2049"/>
          <dgm:constr type="l" for="ch" forName="text10" refType="w" fact="0.3672"/>
          <dgm:constr type="t" for="ch" forName="text10" refType="h" fact="0.5683"/>
          <dgm:constr type="w" for="ch" forName="text10" refType="w" fact="0.1425"/>
          <dgm:constr type="h" for="ch" forName="text10" refType="h" fact="0.2049"/>
          <dgm:constr type="l" for="ch" forName="imageaccent10" refType="w" fact="0.369"/>
          <dgm:constr type="t" for="ch" forName="imageaccent10" refType="h" fact="0.7704"/>
          <dgm:constr type="w" for="ch" forName="imageaccent10" refType="w" fact="0.0166"/>
          <dgm:constr type="h" for="ch" forName="imageaccent10" refType="h" fact="0.024"/>
          <dgm:constr type="l" for="ch" forName="textaccent10" refType="w" fact="0.3954"/>
          <dgm:constr type="t" for="ch" forName="textaccent10" refType="h" fact="0.7478"/>
          <dgm:constr type="w" for="ch" forName="textaccent10" refType="w" fact="0.0166"/>
          <dgm:constr type="h" for="ch" forName="textaccent10" refType="h" fact="0.024"/>
          <dgm:constr type="l" for="ch" forName="text11" refType="w" fact="0.612"/>
          <dgm:constr type="t" for="ch" forName="text11" refType="h" fact="0.7951"/>
          <dgm:constr type="w" for="ch" forName="text11" refType="w" fact="0.1425"/>
          <dgm:constr type="h" for="ch" forName="text11" refType="h" fact="0.2049"/>
          <dgm:constr type="l" for="ch" forName="image11" refType="w" fact="0.4894"/>
          <dgm:constr type="t" for="ch" forName="image11" refType="h" fact="0.6816"/>
          <dgm:constr type="w" for="ch" forName="image11" refType="w" fact="0.1425"/>
          <dgm:constr type="h" for="ch" forName="image11" refType="h" fact="0.2049"/>
          <dgm:constr type="l" for="ch" forName="imageaccent11" refType="w" fact="0.5874"/>
          <dgm:constr type="t" for="ch" forName="imageaccent11" refType="h" fact="0.8589"/>
          <dgm:constr type="w" for="ch" forName="imageaccent11" refType="w" fact="0.0166"/>
          <dgm:constr type="h" for="ch" forName="imageaccent11" refType="h" fact="0.024"/>
          <dgm:constr type="l" for="ch" forName="textaccent11" refType="w" fact="0.6154"/>
          <dgm:constr type="t" for="ch" forName="textaccent11" refType="h" fact="0.8863"/>
          <dgm:constr type="w" for="ch" forName="textaccent11" refType="w" fact="0.0166"/>
          <dgm:constr type="h" for="ch" forName="textaccent11" refType="h" fact="0.024"/>
          <dgm:constr type="l" for="ch" forName="text12" refType="w" fact="0.735"/>
          <dgm:constr type="t" for="ch" forName="text12" refType="h" fact="0.684"/>
          <dgm:constr type="w" for="ch" forName="text12" refType="w" fact="0.1425"/>
          <dgm:constr type="h" for="ch" forName="text12" refType="h" fact="0.2049"/>
          <dgm:constr type="l" for="ch" forName="image12" refType="w" fact="0.8575"/>
          <dgm:constr type="t" for="ch" forName="image12" refType="h" fact="0.5718"/>
          <dgm:constr type="w" for="ch" forName="image12" refType="w" fact="0.1425"/>
          <dgm:constr type="h" for="ch" forName="image12" refType="h" fact="0.2049"/>
          <dgm:constr type="l" for="ch" forName="textaccent12" refType="w" fact="0.8594"/>
          <dgm:constr type="t" for="ch" forName="textaccent12" refType="h" fact="0.7739"/>
          <dgm:constr type="w" for="ch" forName="textaccent12" refType="w" fact="0.0166"/>
          <dgm:constr type="h" for="ch" forName="textaccent12" refType="h" fact="0.024"/>
          <dgm:constr type="l" for="ch" forName="imageaccent12" refType="w" fact="0.8858"/>
          <dgm:constr type="t" for="ch" forName="imageaccent12" refType="h" fact="0.7513"/>
          <dgm:constr type="w" for="ch" forName="imageaccent12" refType="w" fact="0.0166"/>
          <dgm:constr type="h" for="ch" forName="imageaccent12" refType="h" fact="0.024"/>
        </dgm:constrLst>
      </dgm:else>
    </dgm:choose>
    <dgm:forEach name="wrapper" axis="self" ptType="parTrans">
      <dgm:forEach name="wrapper2" axis="self" ptType="sibTrans" st="2">
        <dgm:forEach name="textRepeat" axis="self">
          <dgm:layoutNode name="textRepeatNode" styleLbl="alignNode1">
            <dgm:varLst>
              <dgm:chMax val="0"/>
              <dgm:chPref val="0"/>
              <dgm:bulletEnabled val="1"/>
            </dgm:varLst>
            <dgm:alg type="tx"/>
            <dgm:shape xmlns:r="http://schemas.openxmlformats.org/officeDocument/2006/relationships" type="hexagon" r:blip="">
              <dgm:adjLst>
                <dgm:adj idx="1" val="0.25"/>
                <dgm:adj idx="2" val="1.1547"/>
              </dgm:adjLst>
            </dgm:shape>
            <dgm:presOf axis="desOrSelf" ptType="node"/>
            <dgm:constrLst>
              <dgm:constr type="lMarg" refType="primFontSz" fact="0"/>
              <dgm:constr type="rMarg" refType="primFontSz" fact="0"/>
              <dgm:constr type="tMarg" refType="primFontSz" fact="0.1"/>
              <dgm:constr type="bMarg" refType="primFontSz" fact="0.1"/>
            </dgm:constrLst>
            <dgm:ruleLst>
              <dgm:rule type="primFontSz" val="5" fact="NaN" max="NaN"/>
            </dgm:ruleLst>
          </dgm:layoutNode>
        </dgm:forEach>
        <dgm:forEach name="accentRepeat" axis="self">
          <dgm:layoutNode name="accentRepeatNode" styleLbl="solidAlignAcc1">
            <dgm:alg type="sp"/>
            <dgm:shape xmlns:r="http://schemas.openxmlformats.org/officeDocument/2006/relationships" type="hexagon" r:blip="">
              <dgm:adjLst>
                <dgm:adj idx="1" val="0.25"/>
                <dgm:adj idx="2" val="1.1547"/>
              </dgm:adjLst>
            </dgm:shape>
            <dgm:presOf/>
          </dgm:layoutNode>
        </dgm:forEach>
        <dgm:forEach name="imageRepeat" axis="self">
          <dgm:layoutNode name="imageRepeatNode" styleLbl="alignAcc1">
            <dgm:alg type="sp"/>
            <dgm:shape xmlns:r="http://schemas.openxmlformats.org/officeDocument/2006/relationships" type="hexagon" r:blip="" blipPhldr="1">
              <dgm:adjLst>
                <dgm:adj idx="1" val="0.25"/>
                <dgm:adj idx="2" val="1.1547"/>
              </dgm:adjLst>
            </dgm:shape>
            <dgm:presOf axis="self"/>
          </dgm:layoutNode>
        </dgm:forEach>
      </dgm:forEach>
    </dgm:forEach>
    <dgm:forEach name="Name14" axis="ch" ptType="node" cnt="1">
      <dgm:layoutNode name="text1">
        <dgm:alg type="sp"/>
        <dgm:shape xmlns:r="http://schemas.openxmlformats.org/officeDocument/2006/relationships" r:blip="">
          <dgm:adjLst/>
        </dgm:shape>
        <dgm:presOf/>
        <dgm:constrLst/>
        <dgm:forEach name="Name15" ref="textRepeat"/>
      </dgm:layoutNode>
      <dgm:layoutNode name="textaccent1">
        <dgm:alg type="sp"/>
        <dgm:shape xmlns:r="http://schemas.openxmlformats.org/officeDocument/2006/relationships" r:blip="">
          <dgm:adjLst/>
        </dgm:shape>
        <dgm:presOf/>
        <dgm:constrLst/>
        <dgm:forEach name="Name16" ref="accentRepeat"/>
      </dgm:layoutNode>
    </dgm:forEach>
    <dgm:forEach name="Name17" axis="ch" ptType="sibTrans" hideLastTrans="0" cnt="1">
      <dgm:layoutNode name="image1">
        <dgm:alg type="sp"/>
        <dgm:shape xmlns:r="http://schemas.openxmlformats.org/officeDocument/2006/relationships" r:blip="">
          <dgm:adjLst/>
        </dgm:shape>
        <dgm:presOf/>
        <dgm:constrLst/>
        <dgm:forEach name="Name18" ref="imageRepeat"/>
      </dgm:layoutNode>
      <dgm:layoutNode name="imageaccent1">
        <dgm:alg type="sp"/>
        <dgm:shape xmlns:r="http://schemas.openxmlformats.org/officeDocument/2006/relationships" r:blip="">
          <dgm:adjLst/>
        </dgm:shape>
        <dgm:presOf/>
        <dgm:constrLst/>
        <dgm:forEach name="Name19" ref="accentRepeat"/>
      </dgm:layoutNode>
    </dgm:forEach>
    <dgm:forEach name="Name20" axis="ch" ptType="node" st="2" cnt="1">
      <dgm:layoutNode name="text2">
        <dgm:alg type="sp"/>
        <dgm:shape xmlns:r="http://schemas.openxmlformats.org/officeDocument/2006/relationships" r:blip="">
          <dgm:adjLst/>
        </dgm:shape>
        <dgm:presOf/>
        <dgm:constrLst/>
        <dgm:forEach name="Name21" ref="textRepeat"/>
      </dgm:layoutNode>
      <dgm:layoutNode name="textaccent2">
        <dgm:alg type="sp"/>
        <dgm:shape xmlns:r="http://schemas.openxmlformats.org/officeDocument/2006/relationships" r:blip="">
          <dgm:adjLst/>
        </dgm:shape>
        <dgm:presOf/>
        <dgm:constrLst/>
        <dgm:forEach name="Name22" ref="accentRepeat"/>
      </dgm:layoutNode>
    </dgm:forEach>
    <dgm:forEach name="Name23" axis="ch" ptType="sibTrans" hideLastTrans="0" st="2" cnt="1">
      <dgm:layoutNode name="image2">
        <dgm:alg type="sp"/>
        <dgm:shape xmlns:r="http://schemas.openxmlformats.org/officeDocument/2006/relationships" r:blip="">
          <dgm:adjLst/>
        </dgm:shape>
        <dgm:presOf/>
        <dgm:constrLst/>
        <dgm:forEach name="Name24" ref="imageRepeat"/>
      </dgm:layoutNode>
      <dgm:layoutNode name="imageaccent2">
        <dgm:alg type="sp"/>
        <dgm:shape xmlns:r="http://schemas.openxmlformats.org/officeDocument/2006/relationships" r:blip="">
          <dgm:adjLst/>
        </dgm:shape>
        <dgm:presOf/>
        <dgm:constrLst/>
        <dgm:forEach name="Name25" ref="accentRepeat"/>
      </dgm:layoutNode>
    </dgm:forEach>
    <dgm:forEach name="Name26" axis="ch" ptType="node" st="3" cnt="1">
      <dgm:layoutNode name="text3">
        <dgm:alg type="sp"/>
        <dgm:shape xmlns:r="http://schemas.openxmlformats.org/officeDocument/2006/relationships" r:blip="">
          <dgm:adjLst/>
        </dgm:shape>
        <dgm:presOf/>
        <dgm:constrLst/>
        <dgm:forEach name="Name27" ref="textRepeat"/>
      </dgm:layoutNode>
      <dgm:layoutNode name="textaccent3">
        <dgm:alg type="sp"/>
        <dgm:shape xmlns:r="http://schemas.openxmlformats.org/officeDocument/2006/relationships" r:blip="">
          <dgm:adjLst/>
        </dgm:shape>
        <dgm:presOf/>
        <dgm:constrLst/>
        <dgm:forEach name="Name28" ref="accentRepeat"/>
      </dgm:layoutNode>
    </dgm:forEach>
    <dgm:forEach name="Name29" axis="ch" ptType="sibTrans" hideLastTrans="0" st="3" cnt="1">
      <dgm:layoutNode name="image3">
        <dgm:alg type="sp"/>
        <dgm:shape xmlns:r="http://schemas.openxmlformats.org/officeDocument/2006/relationships" r:blip="">
          <dgm:adjLst/>
        </dgm:shape>
        <dgm:presOf/>
        <dgm:constrLst/>
        <dgm:forEach name="Name30" ref="imageRepeat"/>
      </dgm:layoutNode>
      <dgm:layoutNode name="imageaccent3">
        <dgm:alg type="sp"/>
        <dgm:shape xmlns:r="http://schemas.openxmlformats.org/officeDocument/2006/relationships" r:blip="">
          <dgm:adjLst/>
        </dgm:shape>
        <dgm:presOf/>
        <dgm:constrLst/>
        <dgm:forEach name="Name31" ref="accentRepeat"/>
      </dgm:layoutNode>
    </dgm:forEach>
    <dgm:forEach name="Name32" axis="ch" ptType="node" st="4" cnt="1">
      <dgm:layoutNode name="text4">
        <dgm:alg type="sp"/>
        <dgm:shape xmlns:r="http://schemas.openxmlformats.org/officeDocument/2006/relationships" r:blip="">
          <dgm:adjLst/>
        </dgm:shape>
        <dgm:presOf/>
        <dgm:constrLst/>
        <dgm:forEach name="Name33" ref="textRepeat"/>
      </dgm:layoutNode>
      <dgm:layoutNode name="textaccent4">
        <dgm:alg type="sp"/>
        <dgm:shape xmlns:r="http://schemas.openxmlformats.org/officeDocument/2006/relationships" r:blip="">
          <dgm:adjLst/>
        </dgm:shape>
        <dgm:presOf/>
        <dgm:constrLst/>
        <dgm:forEach name="Name34" ref="accentRepeat"/>
      </dgm:layoutNode>
    </dgm:forEach>
    <dgm:forEach name="Name35" axis="ch" ptType="sibTrans" hideLastTrans="0" st="4" cnt="1">
      <dgm:layoutNode name="image4">
        <dgm:alg type="sp"/>
        <dgm:shape xmlns:r="http://schemas.openxmlformats.org/officeDocument/2006/relationships" r:blip="">
          <dgm:adjLst/>
        </dgm:shape>
        <dgm:presOf/>
        <dgm:constrLst/>
        <dgm:forEach name="Name36" ref="imageRepeat"/>
      </dgm:layoutNode>
      <dgm:layoutNode name="imageaccent4">
        <dgm:alg type="sp"/>
        <dgm:shape xmlns:r="http://schemas.openxmlformats.org/officeDocument/2006/relationships" r:blip="">
          <dgm:adjLst/>
        </dgm:shape>
        <dgm:presOf/>
        <dgm:constrLst/>
        <dgm:forEach name="Name37" ref="accentRepeat"/>
      </dgm:layoutNode>
    </dgm:forEach>
    <dgm:forEach name="Name38" axis="ch" ptType="node" st="5" cnt="1">
      <dgm:layoutNode name="text5">
        <dgm:alg type="sp"/>
        <dgm:shape xmlns:r="http://schemas.openxmlformats.org/officeDocument/2006/relationships" r:blip="">
          <dgm:adjLst/>
        </dgm:shape>
        <dgm:presOf/>
        <dgm:constrLst/>
        <dgm:forEach name="Name39" ref="textRepeat"/>
      </dgm:layoutNode>
      <dgm:layoutNode name="textaccent5">
        <dgm:alg type="sp"/>
        <dgm:shape xmlns:r="http://schemas.openxmlformats.org/officeDocument/2006/relationships" r:blip="">
          <dgm:adjLst/>
        </dgm:shape>
        <dgm:presOf/>
        <dgm:constrLst/>
        <dgm:forEach name="Name40" ref="accentRepeat"/>
      </dgm:layoutNode>
    </dgm:forEach>
    <dgm:forEach name="Name41" axis="ch" ptType="sibTrans" hideLastTrans="0" st="5" cnt="1">
      <dgm:layoutNode name="image5">
        <dgm:alg type="sp"/>
        <dgm:shape xmlns:r="http://schemas.openxmlformats.org/officeDocument/2006/relationships" r:blip="">
          <dgm:adjLst/>
        </dgm:shape>
        <dgm:presOf/>
        <dgm:constrLst/>
        <dgm:forEach name="Name42" ref="imageRepeat"/>
      </dgm:layoutNode>
      <dgm:layoutNode name="imageaccent5">
        <dgm:alg type="sp"/>
        <dgm:shape xmlns:r="http://schemas.openxmlformats.org/officeDocument/2006/relationships" r:blip="">
          <dgm:adjLst/>
        </dgm:shape>
        <dgm:presOf/>
        <dgm:constrLst/>
        <dgm:forEach name="Name43" ref="accentRepeat"/>
      </dgm:layoutNode>
    </dgm:forEach>
    <dgm:forEach name="Name44" axis="ch" ptType="node" st="6" cnt="1">
      <dgm:layoutNode name="text6">
        <dgm:alg type="sp"/>
        <dgm:shape xmlns:r="http://schemas.openxmlformats.org/officeDocument/2006/relationships" r:blip="">
          <dgm:adjLst/>
        </dgm:shape>
        <dgm:presOf/>
        <dgm:constrLst/>
        <dgm:forEach name="Name45" ref="textRepeat"/>
      </dgm:layoutNode>
      <dgm:layoutNode name="textaccent6">
        <dgm:alg type="sp"/>
        <dgm:shape xmlns:r="http://schemas.openxmlformats.org/officeDocument/2006/relationships" r:blip="">
          <dgm:adjLst/>
        </dgm:shape>
        <dgm:presOf/>
        <dgm:constrLst/>
        <dgm:forEach name="Name46" ref="accentRepeat"/>
      </dgm:layoutNode>
    </dgm:forEach>
    <dgm:forEach name="Name47" axis="ch" ptType="sibTrans" hideLastTrans="0" st="6" cnt="1">
      <dgm:layoutNode name="image6">
        <dgm:alg type="sp"/>
        <dgm:shape xmlns:r="http://schemas.openxmlformats.org/officeDocument/2006/relationships" r:blip="">
          <dgm:adjLst/>
        </dgm:shape>
        <dgm:presOf/>
        <dgm:constrLst/>
        <dgm:forEach name="Name48" ref="imageRepeat"/>
      </dgm:layoutNode>
      <dgm:layoutNode name="imageaccent6">
        <dgm:alg type="sp"/>
        <dgm:shape xmlns:r="http://schemas.openxmlformats.org/officeDocument/2006/relationships" r:blip="">
          <dgm:adjLst/>
        </dgm:shape>
        <dgm:presOf/>
        <dgm:constrLst/>
        <dgm:forEach name="Name49" ref="accentRepeat"/>
      </dgm:layoutNode>
    </dgm:forEach>
    <dgm:forEach name="Name50" axis="ch" ptType="node" st="7" cnt="1">
      <dgm:layoutNode name="text7">
        <dgm:alg type="sp"/>
        <dgm:shape xmlns:r="http://schemas.openxmlformats.org/officeDocument/2006/relationships" r:blip="">
          <dgm:adjLst/>
        </dgm:shape>
        <dgm:presOf/>
        <dgm:constrLst/>
        <dgm:forEach name="Name51" ref="textRepeat"/>
      </dgm:layoutNode>
      <dgm:layoutNode name="textaccent7">
        <dgm:alg type="sp"/>
        <dgm:shape xmlns:r="http://schemas.openxmlformats.org/officeDocument/2006/relationships" r:blip="">
          <dgm:adjLst/>
        </dgm:shape>
        <dgm:presOf/>
        <dgm:constrLst/>
        <dgm:forEach name="Name52" ref="accentRepeat"/>
      </dgm:layoutNode>
    </dgm:forEach>
    <dgm:forEach name="Name53" axis="ch" ptType="sibTrans" hideLastTrans="0" st="7" cnt="1">
      <dgm:layoutNode name="image7">
        <dgm:alg type="sp"/>
        <dgm:shape xmlns:r="http://schemas.openxmlformats.org/officeDocument/2006/relationships" r:blip="">
          <dgm:adjLst/>
        </dgm:shape>
        <dgm:presOf/>
        <dgm:constrLst/>
        <dgm:forEach name="Name54" ref="imageRepeat"/>
      </dgm:layoutNode>
      <dgm:layoutNode name="imageaccent7">
        <dgm:alg type="sp"/>
        <dgm:shape xmlns:r="http://schemas.openxmlformats.org/officeDocument/2006/relationships" r:blip="">
          <dgm:adjLst/>
        </dgm:shape>
        <dgm:presOf/>
        <dgm:constrLst/>
        <dgm:forEach name="Name55" ref="accentRepeat"/>
      </dgm:layoutNode>
    </dgm:forEach>
    <dgm:forEach name="Name56" axis="ch" ptType="node" st="8" cnt="1">
      <dgm:layoutNode name="text8">
        <dgm:alg type="sp"/>
        <dgm:shape xmlns:r="http://schemas.openxmlformats.org/officeDocument/2006/relationships" r:blip="">
          <dgm:adjLst/>
        </dgm:shape>
        <dgm:presOf/>
        <dgm:constrLst/>
        <dgm:forEach name="Name57" ref="textRepeat"/>
      </dgm:layoutNode>
      <dgm:layoutNode name="textaccent8">
        <dgm:alg type="sp"/>
        <dgm:shape xmlns:r="http://schemas.openxmlformats.org/officeDocument/2006/relationships" r:blip="">
          <dgm:adjLst/>
        </dgm:shape>
        <dgm:presOf/>
        <dgm:constrLst/>
        <dgm:forEach name="Name58" ref="accentRepeat"/>
      </dgm:layoutNode>
    </dgm:forEach>
    <dgm:forEach name="Name59" axis="ch" ptType="sibTrans" hideLastTrans="0" st="8" cnt="1">
      <dgm:layoutNode name="image8">
        <dgm:alg type="sp"/>
        <dgm:shape xmlns:r="http://schemas.openxmlformats.org/officeDocument/2006/relationships" r:blip="">
          <dgm:adjLst/>
        </dgm:shape>
        <dgm:presOf/>
        <dgm:constrLst/>
        <dgm:forEach name="Name60" ref="imageRepeat"/>
      </dgm:layoutNode>
      <dgm:layoutNode name="imageaccent8">
        <dgm:alg type="sp"/>
        <dgm:shape xmlns:r="http://schemas.openxmlformats.org/officeDocument/2006/relationships" r:blip="">
          <dgm:adjLst/>
        </dgm:shape>
        <dgm:presOf/>
        <dgm:constrLst/>
        <dgm:forEach name="Name61" ref="accentRepeat"/>
      </dgm:layoutNode>
    </dgm:forEach>
    <dgm:forEach name="Name62" axis="ch" ptType="node" st="9" cnt="1">
      <dgm:layoutNode name="text9">
        <dgm:alg type="sp"/>
        <dgm:shape xmlns:r="http://schemas.openxmlformats.org/officeDocument/2006/relationships" r:blip="">
          <dgm:adjLst/>
        </dgm:shape>
        <dgm:presOf/>
        <dgm:constrLst/>
        <dgm:forEach name="Name63" ref="textRepeat"/>
      </dgm:layoutNode>
      <dgm:layoutNode name="textaccent9">
        <dgm:alg type="sp"/>
        <dgm:shape xmlns:r="http://schemas.openxmlformats.org/officeDocument/2006/relationships" r:blip="">
          <dgm:adjLst/>
        </dgm:shape>
        <dgm:presOf/>
        <dgm:constrLst/>
        <dgm:forEach name="Name64" ref="accentRepeat"/>
      </dgm:layoutNode>
    </dgm:forEach>
    <dgm:forEach name="Name65" axis="ch" ptType="sibTrans" hideLastTrans="0" st="9" cnt="1">
      <dgm:layoutNode name="image9">
        <dgm:alg type="sp"/>
        <dgm:shape xmlns:r="http://schemas.openxmlformats.org/officeDocument/2006/relationships" r:blip="">
          <dgm:adjLst/>
        </dgm:shape>
        <dgm:presOf/>
        <dgm:constrLst/>
        <dgm:forEach name="Name66" ref="imageRepeat"/>
      </dgm:layoutNode>
      <dgm:layoutNode name="imageaccent9">
        <dgm:alg type="sp"/>
        <dgm:shape xmlns:r="http://schemas.openxmlformats.org/officeDocument/2006/relationships" r:blip="">
          <dgm:adjLst/>
        </dgm:shape>
        <dgm:presOf/>
        <dgm:constrLst/>
        <dgm:forEach name="Name67" ref="accentRepeat"/>
      </dgm:layoutNode>
    </dgm:forEach>
    <dgm:forEach name="Name68" axis="ch" ptType="node" st="10" cnt="1">
      <dgm:layoutNode name="text10">
        <dgm:alg type="sp"/>
        <dgm:shape xmlns:r="http://schemas.openxmlformats.org/officeDocument/2006/relationships" r:blip="">
          <dgm:adjLst/>
        </dgm:shape>
        <dgm:presOf/>
        <dgm:constrLst/>
        <dgm:forEach name="Name69" ref="textRepeat"/>
      </dgm:layoutNode>
      <dgm:layoutNode name="textaccent10">
        <dgm:alg type="sp"/>
        <dgm:shape xmlns:r="http://schemas.openxmlformats.org/officeDocument/2006/relationships" r:blip="">
          <dgm:adjLst/>
        </dgm:shape>
        <dgm:presOf/>
        <dgm:constrLst/>
        <dgm:forEach name="Name70" ref="accentRepeat"/>
      </dgm:layoutNode>
    </dgm:forEach>
    <dgm:forEach name="Name71" axis="ch" ptType="sibTrans" hideLastTrans="0" st="10" cnt="1">
      <dgm:layoutNode name="image10">
        <dgm:alg type="sp"/>
        <dgm:shape xmlns:r="http://schemas.openxmlformats.org/officeDocument/2006/relationships" r:blip="">
          <dgm:adjLst/>
        </dgm:shape>
        <dgm:presOf/>
        <dgm:constrLst/>
        <dgm:forEach name="Name72" ref="imageRepeat"/>
      </dgm:layoutNode>
      <dgm:layoutNode name="imageaccent10">
        <dgm:alg type="sp"/>
        <dgm:shape xmlns:r="http://schemas.openxmlformats.org/officeDocument/2006/relationships" r:blip="">
          <dgm:adjLst/>
        </dgm:shape>
        <dgm:presOf/>
        <dgm:constrLst/>
        <dgm:forEach name="Name73" ref="accentRepeat"/>
      </dgm:layoutNode>
    </dgm:forEach>
    <dgm:forEach name="Name74" axis="ch" ptType="node" st="11" cnt="1">
      <dgm:layoutNode name="text11">
        <dgm:alg type="sp"/>
        <dgm:shape xmlns:r="http://schemas.openxmlformats.org/officeDocument/2006/relationships" r:blip="">
          <dgm:adjLst/>
        </dgm:shape>
        <dgm:presOf/>
        <dgm:constrLst/>
        <dgm:forEach name="Name75" ref="textRepeat"/>
      </dgm:layoutNode>
      <dgm:layoutNode name="textaccent11">
        <dgm:alg type="sp"/>
        <dgm:shape xmlns:r="http://schemas.openxmlformats.org/officeDocument/2006/relationships" r:blip="">
          <dgm:adjLst/>
        </dgm:shape>
        <dgm:presOf/>
        <dgm:constrLst/>
        <dgm:forEach name="Name76" ref="accentRepeat"/>
      </dgm:layoutNode>
    </dgm:forEach>
    <dgm:forEach name="Name77" axis="ch" ptType="sibTrans" hideLastTrans="0" st="11" cnt="1">
      <dgm:layoutNode name="image11">
        <dgm:alg type="sp"/>
        <dgm:shape xmlns:r="http://schemas.openxmlformats.org/officeDocument/2006/relationships" r:blip="">
          <dgm:adjLst/>
        </dgm:shape>
        <dgm:presOf/>
        <dgm:constrLst/>
        <dgm:forEach name="Name78" ref="imageRepeat"/>
      </dgm:layoutNode>
      <dgm:layoutNode name="imageaccent11">
        <dgm:alg type="sp"/>
        <dgm:shape xmlns:r="http://schemas.openxmlformats.org/officeDocument/2006/relationships" r:blip="">
          <dgm:adjLst/>
        </dgm:shape>
        <dgm:presOf/>
        <dgm:constrLst/>
        <dgm:forEach name="Name79" ref="accentRepeat"/>
      </dgm:layoutNode>
    </dgm:forEach>
    <dgm:forEach name="Name80" axis="ch" ptType="node" st="12" cnt="1">
      <dgm:layoutNode name="text12">
        <dgm:alg type="sp"/>
        <dgm:shape xmlns:r="http://schemas.openxmlformats.org/officeDocument/2006/relationships" r:blip="">
          <dgm:adjLst/>
        </dgm:shape>
        <dgm:presOf/>
        <dgm:constrLst/>
        <dgm:forEach name="Name81" ref="textRepeat"/>
      </dgm:layoutNode>
      <dgm:layoutNode name="textaccent12">
        <dgm:alg type="sp"/>
        <dgm:shape xmlns:r="http://schemas.openxmlformats.org/officeDocument/2006/relationships" r:blip="">
          <dgm:adjLst/>
        </dgm:shape>
        <dgm:presOf/>
        <dgm:constrLst/>
        <dgm:forEach name="Name82" ref="accentRepeat"/>
      </dgm:layoutNode>
    </dgm:forEach>
    <dgm:forEach name="Name83" axis="ch" ptType="sibTrans" hideLastTrans="0" st="12" cnt="1">
      <dgm:layoutNode name="image12">
        <dgm:alg type="sp"/>
        <dgm:shape xmlns:r="http://schemas.openxmlformats.org/officeDocument/2006/relationships" r:blip="">
          <dgm:adjLst/>
        </dgm:shape>
        <dgm:presOf/>
        <dgm:constrLst/>
        <dgm:forEach name="Name84" ref="imageRepeat"/>
      </dgm:layoutNode>
      <dgm:layoutNode name="imageaccent12">
        <dgm:alg type="sp"/>
        <dgm:shape xmlns:r="http://schemas.openxmlformats.org/officeDocument/2006/relationships" r:blip="">
          <dgm:adjLst/>
        </dgm:shape>
        <dgm:presOf/>
        <dgm:constrLst/>
        <dgm:forEach name="Name85" ref="accentRepea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ar" val="1"/>
      <dgm:param type="vertAlign" val="mid"/>
      <dgm:param type="horzAlign" val="ctr"/>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srcNode" val="dummy1a"/>
                  <dgm:param type="dstNode" val="dummy1b"/>
                  <dgm:param type="begSty" val="arr"/>
                  <dgm:param type="endSty" val="noArr"/>
                  <dgm:param type="connRout" val="longCurve"/>
                  <dgm:param type="begPts" val="tL"/>
                  <dgm:param type="endPts" val="tR"/>
                </dgm:alg>
              </dgm:if>
              <dgm:else name="Name175">
                <dgm:alg type="conn">
                  <dgm:param type="srcNode" val="dummy1a"/>
                  <dgm:param type="dstNode" val="dummy1b"/>
                  <dgm:param type="begSty" val="noArr"/>
                  <dgm:param type="endSty" val="arr"/>
                  <dgm:param type="connRout" val="longCurve"/>
                  <dgm:param type="begPts" val="tL"/>
                  <dgm:param type="endPts" val="t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srcNode" val="dummy1a"/>
                  <dgm:param type="dstNode" val="dummy1b"/>
                  <dgm:param type="begSty" val="noArr"/>
                  <dgm:param type="endSty" val="arr"/>
                  <dgm:param type="connRout" val="curve"/>
                  <dgm:param type="begPts" val="tL"/>
                  <dgm:param type="endPts" val="tL"/>
                </dgm:alg>
              </dgm:if>
              <dgm:else name="Name180">
                <dgm:alg type="conn">
                  <dgm:param type="srcNode" val="dummy1a"/>
                  <dgm:param type="dstNode" val="dummy1b"/>
                  <dgm:param type="begSty" val="arr"/>
                  <dgm:param type="endSty" val="noArr"/>
                  <dgm:param type="connRout" val="curve"/>
                  <dgm:param type="begPts" val="tL"/>
                  <dgm:param type="endPts" val="tL"/>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srcNode" val="dummy2a"/>
              <dgm:param type="dstNode" val="dummy2b"/>
              <dgm:param type="begSty" val="noArr"/>
              <dgm:param type="endSty" val="arr"/>
              <dgm:param type="connRout" val="curve"/>
              <dgm:param type="begPts" val="tL"/>
              <dgm:param type="endPts" val="tL"/>
            </dgm:alg>
          </dgm:if>
          <dgm:else name="Name185">
            <dgm:alg type="conn">
              <dgm:param type="srcNode" val="dummy2a"/>
              <dgm:param type="dstNode" val="dummy2b"/>
              <dgm:param type="begSty" val="arr"/>
              <dgm:param type="endSty" val="noArr"/>
              <dgm:param type="connRout" val="curve"/>
              <dgm:param type="begPts" val="tL"/>
              <dgm:param type="endPts" val="tL"/>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srcNode" val="dummy3a"/>
              <dgm:param type="dstNode" val="dummy3b"/>
              <dgm:param type="begSty" val="noArr"/>
              <dgm:param type="endSty" val="arr"/>
              <dgm:param type="connRout" val="curve"/>
              <dgm:param type="begPts" val="tL"/>
              <dgm:param type="endPts" val="tL"/>
            </dgm:alg>
          </dgm:if>
          <dgm:else name="Name189">
            <dgm:alg type="conn">
              <dgm:param type="srcNode" val="dummy3a"/>
              <dgm:param type="dstNode" val="dummy3b"/>
              <dgm:param type="begSty" val="arr"/>
              <dgm:param type="endSty" val="noArr"/>
              <dgm:param type="connRout" val="curve"/>
              <dgm:param type="begPts" val="tL"/>
              <dgm:param type="endPts" val="tL"/>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srcNode" val="dummy4a"/>
              <dgm:param type="dstNode" val="dummy4b"/>
              <dgm:param type="begSty" val="noArr"/>
              <dgm:param type="endSty" val="arr"/>
              <dgm:param type="connRout" val="curve"/>
              <dgm:param type="begPts" val="tL"/>
              <dgm:param type="endPts" val="tL"/>
            </dgm:alg>
          </dgm:if>
          <dgm:else name="Name193">
            <dgm:alg type="conn">
              <dgm:param type="srcNode" val="dummy4a"/>
              <dgm:param type="dstNode" val="dummy4b"/>
              <dgm:param type="begSty" val="arr"/>
              <dgm:param type="endSty" val="noArr"/>
              <dgm:param type="connRout" val="curve"/>
              <dgm:param type="begPts" val="tL"/>
              <dgm:param type="endPts" val="tL"/>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srcNode" val="dummy5a"/>
              <dgm:param type="dstNode" val="dummy5b"/>
              <dgm:param type="begSty" val="noArr"/>
              <dgm:param type="endSty" val="arr"/>
              <dgm:param type="connRout" val="curve"/>
              <dgm:param type="begPts" val="tL"/>
              <dgm:param type="endPts" val="tL"/>
            </dgm:alg>
          </dgm:if>
          <dgm:else name="Name197">
            <dgm:alg type="conn">
              <dgm:param type="srcNode" val="dummy5a"/>
              <dgm:param type="dstNode" val="dummy5b"/>
              <dgm:param type="begSty" val="arr"/>
              <dgm:param type="endSty" val="noArr"/>
              <dgm:param type="connRout" val="curve"/>
              <dgm:param type="begPts" val="tL"/>
              <dgm:param type="endPts" val="tL"/>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srcNode" val="dummy6a"/>
              <dgm:param type="dstNode" val="dummy6b"/>
              <dgm:param type="begSty" val="noArr"/>
              <dgm:param type="endSty" val="arr"/>
              <dgm:param type="connRout" val="curve"/>
              <dgm:param type="begPts" val="tL"/>
              <dgm:param type="endPts" val="tL"/>
            </dgm:alg>
          </dgm:if>
          <dgm:else name="Name201">
            <dgm:alg type="conn">
              <dgm:param type="srcNode" val="dummy6a"/>
              <dgm:param type="dstNode" val="dummy6b"/>
              <dgm:param type="begSty" val="arr"/>
              <dgm:param type="endSty" val="noArr"/>
              <dgm:param type="connRout" val="curve"/>
              <dgm:param type="begPts" val="tL"/>
              <dgm:param type="endPts" val="tL"/>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srcNode" val="dummy7a"/>
              <dgm:param type="dstNode" val="dummy7b"/>
              <dgm:param type="begSty" val="noArr"/>
              <dgm:param type="endSty" val="arr"/>
              <dgm:param type="connRout" val="curve"/>
              <dgm:param type="begPts" val="tL"/>
              <dgm:param type="endPts" val="tL"/>
            </dgm:alg>
          </dgm:if>
          <dgm:else name="Name205">
            <dgm:alg type="conn">
              <dgm:param type="srcNode" val="dummy7a"/>
              <dgm:param type="dstNode" val="dummy7b"/>
              <dgm:param type="begSty" val="arr"/>
              <dgm:param type="endSty" val="noArr"/>
              <dgm:param type="connRout" val="curve"/>
              <dgm:param type="begPts" val="tL"/>
              <dgm:param type="endPts" val="tL"/>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layout4.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type="rightArrow" r:blip="" rot="180"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alignAcc1">
    <dgm:scene3d>
      <a:camera prst="orthographicFront"/>
      <a:lightRig rig="threePt" dir="t"/>
    </dgm:scene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txPr/>
    <dgm:style>
      <a:lnRef idx="1">
        <a:scrgbClr r="0" g="0" b="0"/>
      </a:lnRef>
      <a:fillRef idx="1">
        <a:scrgbClr r="0" g="0" b="0"/>
      </a:fillRef>
      <a:effectRef idx="2">
        <a:scrgbClr r="0" g="0" b="0"/>
      </a:effectRef>
      <a:fontRef idx="minor"/>
    </dgm:style>
  </dgm:styleLbl>
  <dgm:styleLbl name="alignImgPlace1">
    <dgm:scene3d>
      <a:camera prst="orthographicFront"/>
      <a:lightRig rig="threePt" dir="t"/>
    </dgm:scene3d>
    <dgm:txPr/>
    <dgm:style>
      <a:lnRef idx="0">
        <a:scrgbClr r="0" g="0" b="0"/>
      </a:lnRef>
      <a:fillRef idx="1">
        <a:scrgbClr r="0" g="0" b="0"/>
      </a:fillRef>
      <a:effectRef idx="3">
        <a:scrgbClr r="0" g="0" b="0"/>
      </a:effectRef>
      <a:fontRef idx="minor"/>
    </dgm:style>
  </dgm:styleLbl>
  <dgm:styleLbl name="alignNode1">
    <dgm:scene3d>
      <a:camera prst="orthographicFront"/>
      <a:lightRig rig="threePt" dir="t"/>
    </dgm:scene3d>
    <dgm:txPr/>
    <dgm:style>
      <a:lnRef idx="1">
        <a:scrgbClr r="0" g="0" b="0"/>
      </a:lnRef>
      <a:fillRef idx="3">
        <a:scrgbClr r="0" g="0" b="0"/>
      </a:fillRef>
      <a:effectRef idx="3">
        <a:scrgbClr r="0" g="0" b="0"/>
      </a:effectRef>
      <a:fontRef idx="minor">
        <a:schemeClr val="lt1"/>
      </a:fontRef>
    </dgm:style>
  </dgm:styleLbl>
  <dgm:styleLbl name="asst0">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bgAcc1">
    <dgm:scene3d>
      <a:camera prst="orthographicFront"/>
      <a:lightRig rig="threePt" dir="t"/>
    </dgm:scene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txPr/>
    <dgm:style>
      <a:lnRef idx="1">
        <a:scrgbClr r="0" g="0" b="0"/>
      </a:lnRef>
      <a:fillRef idx="1">
        <a:scrgbClr r="0" g="0" b="0"/>
      </a:fillRef>
      <a:effectRef idx="2">
        <a:scrgbClr r="0" g="0" b="0"/>
      </a:effectRef>
      <a:fontRef idx="minor"/>
    </dgm:style>
  </dgm:styleLbl>
  <dgm:styleLbl name="bgImgPlace1">
    <dgm:scene3d>
      <a:camera prst="orthographicFront"/>
      <a:lightRig rig="threePt" dir="t"/>
    </dgm:scene3d>
    <dgm:txPr/>
    <dgm:style>
      <a:lnRef idx="0">
        <a:scrgbClr r="0" g="0" b="0"/>
      </a:lnRef>
      <a:fillRef idx="1">
        <a:scrgbClr r="0" g="0" b="0"/>
      </a:fillRef>
      <a:effectRef idx="3">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2">
        <a:scrgbClr r="0" g="0" b="0"/>
      </a:effectRef>
      <a:fontRef idx="minor"/>
    </dgm:style>
  </dgm:styleLbl>
  <dgm:styleLbl name="bgSibTrans2D1">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callout">
    <dgm:scene3d>
      <a:camera prst="orthographicFront"/>
      <a:lightRig rig="threePt" dir="t"/>
    </dgm:scene3d>
    <dgm:txPr/>
    <dgm:style>
      <a:lnRef idx="1">
        <a:scrgbClr r="0" g="0" b="0"/>
      </a:lnRef>
      <a:fillRef idx="0">
        <a:scrgbClr r="0" g="0" b="0"/>
      </a:fillRef>
      <a:effectRef idx="1">
        <a:scrgbClr r="0" g="0" b="0"/>
      </a:effectRef>
      <a:fontRef idx="minor"/>
    </dgm:style>
  </dgm:styleLbl>
  <dgm:styleLbl name="conFgAcc1">
    <dgm:scene3d>
      <a:camera prst="orthographicFront"/>
      <a:lightRig rig="threePt" dir="t"/>
    </dgm:scene3d>
    <dgm:txPr/>
    <dgm:style>
      <a:lnRef idx="1">
        <a:scrgbClr r="0" g="0" b="0"/>
      </a:lnRef>
      <a:fillRef idx="1">
        <a:scrgbClr r="0" g="0" b="0"/>
      </a:fillRef>
      <a:effectRef idx="2">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3">
        <a:scrgbClr r="0" g="0" b="0"/>
      </a:effectRef>
      <a:fontRef idx="minor"/>
    </dgm:style>
  </dgm:styleLbl>
  <dgm:styleLbl name="fgAcc0">
    <dgm:scene3d>
      <a:camera prst="orthographicFront"/>
      <a:lightRig rig="threePt" dir="t"/>
    </dgm:scene3d>
    <dgm:txPr/>
    <dgm:style>
      <a:lnRef idx="1">
        <a:scrgbClr r="0" g="0" b="0"/>
      </a:lnRef>
      <a:fillRef idx="1">
        <a:scrgbClr r="0" g="0" b="0"/>
      </a:fillRef>
      <a:effectRef idx="2">
        <a:scrgbClr r="0" g="0" b="0"/>
      </a:effectRef>
      <a:fontRef idx="minor"/>
    </dgm:style>
  </dgm:styleLbl>
  <dgm:styleLbl name="fgAcc1">
    <dgm:scene3d>
      <a:camera prst="orthographicFront"/>
      <a:lightRig rig="threePt" dir="t"/>
    </dgm:scene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txPr/>
    <dgm:style>
      <a:lnRef idx="1">
        <a:scrgbClr r="0" g="0" b="0"/>
      </a:lnRef>
      <a:fillRef idx="1">
        <a:scrgbClr r="0" g="0" b="0"/>
      </a:fillRef>
      <a:effectRef idx="2">
        <a:scrgbClr r="0" g="0" b="0"/>
      </a:effectRef>
      <a:fontRef idx="minor"/>
    </dgm:style>
  </dgm:styleLbl>
  <dgm:styleLbl name="fgAccFollowNode1">
    <dgm:scene3d>
      <a:camera prst="orthographicFront"/>
      <a:lightRig rig="threePt" dir="t"/>
    </dgm:scene3d>
    <dgm:txPr/>
    <dgm:style>
      <a:lnRef idx="1">
        <a:scrgbClr r="0" g="0" b="0"/>
      </a:lnRef>
      <a:fillRef idx="1">
        <a:scrgbClr r="0" g="0" b="0"/>
      </a:fillRef>
      <a:effectRef idx="2">
        <a:scrgbClr r="0" g="0" b="0"/>
      </a:effectRef>
      <a:fontRef idx="minor"/>
    </dgm:style>
  </dgm:styleLbl>
  <dgm:styleLbl name="fgImgPlace1">
    <dgm:scene3d>
      <a:camera prst="orthographicFront"/>
      <a:lightRig rig="threePt" dir="t"/>
    </dgm:scene3d>
    <dgm:txPr/>
    <dgm:style>
      <a:lnRef idx="0">
        <a:scrgbClr r="0" g="0" b="0"/>
      </a:lnRef>
      <a:fillRef idx="1">
        <a:scrgbClr r="0" g="0" b="0"/>
      </a:fillRef>
      <a:effectRef idx="3">
        <a:scrgbClr r="0" g="0" b="0"/>
      </a:effectRef>
      <a:fontRef idx="minor"/>
    </dgm:style>
  </dgm:styleLbl>
  <dgm:styleLbl name="fgShp">
    <dgm:scene3d>
      <a:camera prst="orthographicFront"/>
      <a:lightRig rig="threePt" dir="t"/>
    </dgm:scene3d>
    <dgm:txPr/>
    <dgm:style>
      <a:lnRef idx="0">
        <a:scrgbClr r="0" g="0" b="0"/>
      </a:lnRef>
      <a:fillRef idx="3">
        <a:scrgbClr r="0" g="0" b="0"/>
      </a:fillRef>
      <a:effectRef idx="3">
        <a:scrgbClr r="0" g="0" b="0"/>
      </a:effectRef>
      <a:fontRef idx="minor"/>
    </dgm:style>
  </dgm:styleLbl>
  <dgm:styleLbl name="fgSibTrans2D1">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node0">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solidAlignAcc1">
    <dgm:scene3d>
      <a:camera prst="orthographicFront"/>
      <a:lightRig rig="threePt" dir="t"/>
    </dgm:scene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txPr/>
    <dgm:style>
      <a:lnRef idx="1">
        <a:scrgbClr r="0" g="0" b="0"/>
      </a:lnRef>
      <a:fillRef idx="1">
        <a:scrgbClr r="0" g="0" b="0"/>
      </a:fillRef>
      <a:effectRef idx="3">
        <a:scrgbClr r="0" g="0" b="0"/>
      </a:effectRef>
      <a:fontRef idx="minor"/>
    </dgm:style>
  </dgm:styleLbl>
  <dgm:styleLbl name="solidFgAcc1">
    <dgm:scene3d>
      <a:camera prst="orthographicFront"/>
      <a:lightRig rig="threePt" dir="t"/>
    </dgm:scene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0">
        <a:scrgbClr r="0" g="0" b="0"/>
      </a:lnRef>
      <a:fillRef idx="3">
        <a:scrgbClr r="0" g="0" b="0"/>
      </a:fillRef>
      <a:effectRef idx="3">
        <a:scrgbClr r="0" g="0" b="0"/>
      </a:effectRef>
      <a:fontRef idx="minor">
        <a:schemeClr val="tx1"/>
      </a:fontRef>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alignAcc1">
    <dgm:scene3d>
      <a:camera prst="orthographicFront"/>
      <a:lightRig rig="threePt" dir="t"/>
    </dgm:scene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txPr/>
    <dgm:style>
      <a:lnRef idx="1">
        <a:scrgbClr r="0" g="0" b="0"/>
      </a:lnRef>
      <a:fillRef idx="1">
        <a:scrgbClr r="0" g="0" b="0"/>
      </a:fillRef>
      <a:effectRef idx="2">
        <a:scrgbClr r="0" g="0" b="0"/>
      </a:effectRef>
      <a:fontRef idx="minor"/>
    </dgm:style>
  </dgm:styleLbl>
  <dgm:styleLbl name="alignImgPlace1">
    <dgm:scene3d>
      <a:camera prst="orthographicFront"/>
      <a:lightRig rig="threePt" dir="t"/>
    </dgm:scene3d>
    <dgm:txPr/>
    <dgm:style>
      <a:lnRef idx="0">
        <a:scrgbClr r="0" g="0" b="0"/>
      </a:lnRef>
      <a:fillRef idx="1">
        <a:scrgbClr r="0" g="0" b="0"/>
      </a:fillRef>
      <a:effectRef idx="3">
        <a:scrgbClr r="0" g="0" b="0"/>
      </a:effectRef>
      <a:fontRef idx="minor"/>
    </dgm:style>
  </dgm:styleLbl>
  <dgm:styleLbl name="alignNode1">
    <dgm:scene3d>
      <a:camera prst="orthographicFront"/>
      <a:lightRig rig="threePt" dir="t"/>
    </dgm:scene3d>
    <dgm:txPr/>
    <dgm:style>
      <a:lnRef idx="1">
        <a:scrgbClr r="0" g="0" b="0"/>
      </a:lnRef>
      <a:fillRef idx="3">
        <a:scrgbClr r="0" g="0" b="0"/>
      </a:fillRef>
      <a:effectRef idx="3">
        <a:scrgbClr r="0" g="0" b="0"/>
      </a:effectRef>
      <a:fontRef idx="minor">
        <a:schemeClr val="lt1"/>
      </a:fontRef>
    </dgm:style>
  </dgm:styleLbl>
  <dgm:styleLbl name="asst0">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bgAcc1">
    <dgm:scene3d>
      <a:camera prst="orthographicFront"/>
      <a:lightRig rig="threePt" dir="t"/>
    </dgm:scene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txPr/>
    <dgm:style>
      <a:lnRef idx="1">
        <a:scrgbClr r="0" g="0" b="0"/>
      </a:lnRef>
      <a:fillRef idx="1">
        <a:scrgbClr r="0" g="0" b="0"/>
      </a:fillRef>
      <a:effectRef idx="2">
        <a:scrgbClr r="0" g="0" b="0"/>
      </a:effectRef>
      <a:fontRef idx="minor"/>
    </dgm:style>
  </dgm:styleLbl>
  <dgm:styleLbl name="bgImgPlace1">
    <dgm:scene3d>
      <a:camera prst="orthographicFront"/>
      <a:lightRig rig="threePt" dir="t"/>
    </dgm:scene3d>
    <dgm:txPr/>
    <dgm:style>
      <a:lnRef idx="0">
        <a:scrgbClr r="0" g="0" b="0"/>
      </a:lnRef>
      <a:fillRef idx="1">
        <a:scrgbClr r="0" g="0" b="0"/>
      </a:fillRef>
      <a:effectRef idx="3">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2">
        <a:scrgbClr r="0" g="0" b="0"/>
      </a:effectRef>
      <a:fontRef idx="minor"/>
    </dgm:style>
  </dgm:styleLbl>
  <dgm:styleLbl name="bgSibTrans2D1">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callout">
    <dgm:scene3d>
      <a:camera prst="orthographicFront"/>
      <a:lightRig rig="threePt" dir="t"/>
    </dgm:scene3d>
    <dgm:txPr/>
    <dgm:style>
      <a:lnRef idx="1">
        <a:scrgbClr r="0" g="0" b="0"/>
      </a:lnRef>
      <a:fillRef idx="0">
        <a:scrgbClr r="0" g="0" b="0"/>
      </a:fillRef>
      <a:effectRef idx="1">
        <a:scrgbClr r="0" g="0" b="0"/>
      </a:effectRef>
      <a:fontRef idx="minor"/>
    </dgm:style>
  </dgm:styleLbl>
  <dgm:styleLbl name="conFgAcc1">
    <dgm:scene3d>
      <a:camera prst="orthographicFront"/>
      <a:lightRig rig="threePt" dir="t"/>
    </dgm:scene3d>
    <dgm:txPr/>
    <dgm:style>
      <a:lnRef idx="1">
        <a:scrgbClr r="0" g="0" b="0"/>
      </a:lnRef>
      <a:fillRef idx="1">
        <a:scrgbClr r="0" g="0" b="0"/>
      </a:fillRef>
      <a:effectRef idx="2">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3">
        <a:scrgbClr r="0" g="0" b="0"/>
      </a:effectRef>
      <a:fontRef idx="minor"/>
    </dgm:style>
  </dgm:styleLbl>
  <dgm:styleLbl name="fgAcc0">
    <dgm:scene3d>
      <a:camera prst="orthographicFront"/>
      <a:lightRig rig="threePt" dir="t"/>
    </dgm:scene3d>
    <dgm:txPr/>
    <dgm:style>
      <a:lnRef idx="1">
        <a:scrgbClr r="0" g="0" b="0"/>
      </a:lnRef>
      <a:fillRef idx="1">
        <a:scrgbClr r="0" g="0" b="0"/>
      </a:fillRef>
      <a:effectRef idx="2">
        <a:scrgbClr r="0" g="0" b="0"/>
      </a:effectRef>
      <a:fontRef idx="minor"/>
    </dgm:style>
  </dgm:styleLbl>
  <dgm:styleLbl name="fgAcc1">
    <dgm:scene3d>
      <a:camera prst="orthographicFront"/>
      <a:lightRig rig="threePt" dir="t"/>
    </dgm:scene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txPr/>
    <dgm:style>
      <a:lnRef idx="1">
        <a:scrgbClr r="0" g="0" b="0"/>
      </a:lnRef>
      <a:fillRef idx="1">
        <a:scrgbClr r="0" g="0" b="0"/>
      </a:fillRef>
      <a:effectRef idx="2">
        <a:scrgbClr r="0" g="0" b="0"/>
      </a:effectRef>
      <a:fontRef idx="minor"/>
    </dgm:style>
  </dgm:styleLbl>
  <dgm:styleLbl name="fgAccFollowNode1">
    <dgm:scene3d>
      <a:camera prst="orthographicFront"/>
      <a:lightRig rig="threePt" dir="t"/>
    </dgm:scene3d>
    <dgm:txPr/>
    <dgm:style>
      <a:lnRef idx="1">
        <a:scrgbClr r="0" g="0" b="0"/>
      </a:lnRef>
      <a:fillRef idx="1">
        <a:scrgbClr r="0" g="0" b="0"/>
      </a:fillRef>
      <a:effectRef idx="2">
        <a:scrgbClr r="0" g="0" b="0"/>
      </a:effectRef>
      <a:fontRef idx="minor"/>
    </dgm:style>
  </dgm:styleLbl>
  <dgm:styleLbl name="fgImgPlace1">
    <dgm:scene3d>
      <a:camera prst="orthographicFront"/>
      <a:lightRig rig="threePt" dir="t"/>
    </dgm:scene3d>
    <dgm:txPr/>
    <dgm:style>
      <a:lnRef idx="0">
        <a:scrgbClr r="0" g="0" b="0"/>
      </a:lnRef>
      <a:fillRef idx="1">
        <a:scrgbClr r="0" g="0" b="0"/>
      </a:fillRef>
      <a:effectRef idx="3">
        <a:scrgbClr r="0" g="0" b="0"/>
      </a:effectRef>
      <a:fontRef idx="minor"/>
    </dgm:style>
  </dgm:styleLbl>
  <dgm:styleLbl name="fgShp">
    <dgm:scene3d>
      <a:camera prst="orthographicFront"/>
      <a:lightRig rig="threePt" dir="t"/>
    </dgm:scene3d>
    <dgm:txPr/>
    <dgm:style>
      <a:lnRef idx="0">
        <a:scrgbClr r="0" g="0" b="0"/>
      </a:lnRef>
      <a:fillRef idx="3">
        <a:scrgbClr r="0" g="0" b="0"/>
      </a:fillRef>
      <a:effectRef idx="3">
        <a:scrgbClr r="0" g="0" b="0"/>
      </a:effectRef>
      <a:fontRef idx="minor"/>
    </dgm:style>
  </dgm:styleLbl>
  <dgm:styleLbl name="fgSibTrans2D1">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node0">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3">
        <a:scrgbClr r="0" g="0" b="0"/>
      </a:fillRef>
      <a:effectRef idx="3">
        <a:scrgbClr r="0" g="0" b="0"/>
      </a:effectRef>
      <a:fontRef idx="minor">
        <a:schemeClr val="lt1"/>
      </a:fontRef>
    </dgm:style>
  </dgm:styleLbl>
  <dgm:styleLbl name="solidAlignAcc1">
    <dgm:scene3d>
      <a:camera prst="orthographicFront"/>
      <a:lightRig rig="threePt" dir="t"/>
    </dgm:scene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txPr/>
    <dgm:style>
      <a:lnRef idx="1">
        <a:scrgbClr r="0" g="0" b="0"/>
      </a:lnRef>
      <a:fillRef idx="1">
        <a:scrgbClr r="0" g="0" b="0"/>
      </a:fillRef>
      <a:effectRef idx="3">
        <a:scrgbClr r="0" g="0" b="0"/>
      </a:effectRef>
      <a:fontRef idx="minor"/>
    </dgm:style>
  </dgm:styleLbl>
  <dgm:styleLbl name="solidFgAcc1">
    <dgm:scene3d>
      <a:camera prst="orthographicFront"/>
      <a:lightRig rig="threePt" dir="t"/>
    </dgm:scene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0">
        <a:scrgbClr r="0" g="0" b="0"/>
      </a:lnRef>
      <a:fillRef idx="3">
        <a:scrgbClr r="0" g="0" b="0"/>
      </a:fillRef>
      <a:effectRef idx="3">
        <a:scrgbClr r="0" g="0" b="0"/>
      </a:effectRef>
      <a:fontRef idx="minor">
        <a:schemeClr val="tx1"/>
      </a:fontRef>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2053" textRotate="1"/>
    <customShpInfo spid="_x0000_s2054" textRotate="1"/>
    <customShpInfo spid="_x0000_s2051" textRotate="1"/>
    <customShpInfo spid="_x0000_s2052" textRotate="1"/>
    <customShpInfo spid="_x0000_s1041"/>
    <customShpInfo spid="_x0000_s1039"/>
    <customShpInfo spid="_x0000_s1042"/>
    <customShpInfo spid="_x0000_s1086"/>
    <customShpInfo spid="_x0000_s1085"/>
    <customShpInfo spid="_x0000_s1084"/>
    <customShpInfo spid="_x0000_s1083"/>
    <customShpInfo spid="_x0000_s1082"/>
    <customShpInfo spid="_x0000_s1081"/>
    <customShpInfo spid="_x0000_s1080"/>
    <customShpInfo spid="_x0000_s1079"/>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6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FEEC31F-758E-494F-B5DE-85B1414C5472}">
  <ds:schemaRefs/>
</ds:datastoreItem>
</file>

<file path=docProps/app.xml><?xml version="1.0" encoding="utf-8"?>
<Properties xmlns="http://schemas.openxmlformats.org/officeDocument/2006/extended-properties" xmlns:vt="http://schemas.openxmlformats.org/officeDocument/2006/docPropsVTypes">
  <Template>Normal</Template>
  <Company>Hewlett-Packard Company</Company>
  <Pages>144</Pages>
  <Words>97146</Words>
  <Characters>103342</Characters>
  <Lines>789</Lines>
  <Paragraphs>222</Paragraphs>
  <ScaleCrop>false</ScaleCrop>
  <LinksUpToDate>false</LinksUpToDate>
  <CharactersWithSpaces>104480</CharactersWithSpaces>
  <Application>WPS Office_10.1.0.6206_F1E327BC-269C-435d-A152-05C5408002CA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2016-12-01T01:18:00Z</dcterms:created>
  <dc:creator>惠星</dc:creator>
  <cp:lastModifiedBy>Administrator</cp:lastModifiedBy>
  <cp:lastPrinted>2016-11-26T05:27:00Z</cp:lastPrinted>
  <dcterms:modified xsi:type="dcterms:W3CDTF">2017-02-27T09:00:24Z</dcterms:modified>
  <dc:title>新疆尉犁县生态光伏发电</dc:title>
  <cp:revision>422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2052-10.1.0.6206</vt:lpwstr>
  </property>
</Properties>
</file>